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6.png" ContentType="image/png"/>
  <Override PartName="/word/media/rId41.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Molecular</w:t>
      </w:r>
      <w:r>
        <w:t xml:space="preserve"> </w:t>
      </w:r>
      <w:r>
        <w:t xml:space="preserve">landscape:</w:t>
      </w:r>
      <w:r>
        <w:t xml:space="preserve"> </w:t>
      </w:r>
      <w:r>
        <w:t xml:space="preserve">a</w:t>
      </w:r>
      <w:r>
        <w:t xml:space="preserve"> </w:t>
      </w:r>
      <w:r>
        <w:t xml:space="preserve">new</w:t>
      </w:r>
      <w:r>
        <w:t xml:space="preserve"> </w:t>
      </w:r>
      <w:r>
        <w:t xml:space="preserve">framework</w:t>
      </w:r>
      <w:r>
        <w:t xml:space="preserve"> </w:t>
      </w:r>
      <w:r>
        <w:t xml:space="preserve">for</w:t>
      </w:r>
      <w:r>
        <w:t xml:space="preserve"> </w:t>
      </w:r>
      <w:r>
        <w:t xml:space="preserve">personalized</w:t>
      </w:r>
      <w:r>
        <w:t xml:space="preserve"> </w:t>
      </w:r>
      <w:r>
        <w:t xml:space="preserve">medicine</w:t>
      </w:r>
      <w:r>
        <w:t xml:space="preserve"> </w:t>
      </w:r>
      <w:r>
        <w:t xml:space="preserve">in</w:t>
      </w:r>
      <w:r>
        <w:t xml:space="preserve"> </w:t>
      </w:r>
      <w:r>
        <w:t xml:space="preserve">Breast</w:t>
      </w:r>
      <w:r>
        <w:t xml:space="preserve"> </w:t>
      </w:r>
      <w:r>
        <w:t xml:space="preserve">Cancer</w:t>
      </w:r>
    </w:p>
    <w:p>
      <w:pPr>
        <w:pStyle w:val="Author"/>
      </w:pPr>
      <w:r>
        <w:t xml:space="preserve">Carlos</w:t>
      </w:r>
      <w:r>
        <w:t xml:space="preserve"> </w:t>
      </w:r>
      <w:r>
        <w:t xml:space="preserve">Ronchi,</w:t>
      </w:r>
      <w:r>
        <w:t xml:space="preserve"> </w:t>
      </w:r>
      <w:r>
        <w:t xml:space="preserve">Cathrin</w:t>
      </w:r>
      <w:r>
        <w:t xml:space="preserve"> </w:t>
      </w:r>
      <w:r>
        <w:t xml:space="preserve">Brisken</w:t>
      </w:r>
    </w:p>
    <w:bookmarkStart w:id="20" w:name="abstract"/>
    <w:p>
      <w:pPr>
        <w:pStyle w:val="Heading1"/>
      </w:pPr>
      <w:r>
        <w:t xml:space="preserve">Abstract</w:t>
      </w:r>
    </w:p>
    <w:bookmarkEnd w:id="20"/>
    <w:bookmarkStart w:id="21" w:name="introduction"/>
    <w:p>
      <w:pPr>
        <w:pStyle w:val="Heading1"/>
      </w:pPr>
      <w:r>
        <w:t xml:space="preserve">Introduction</w:t>
      </w:r>
    </w:p>
    <w:bookmarkEnd w:id="21"/>
    <w:bookmarkStart w:id="30" w:name="methods"/>
    <w:p>
      <w:pPr>
        <w:pStyle w:val="Heading1"/>
      </w:pPr>
      <w:r>
        <w:t xml:space="preserve">Methods</w:t>
      </w:r>
    </w:p>
    <w:bookmarkStart w:id="22" w:name="cohorts"/>
    <w:p>
      <w:pPr>
        <w:pStyle w:val="Heading2"/>
      </w:pPr>
      <w:r>
        <w:t xml:space="preserve">Cohorts</w:t>
      </w:r>
    </w:p>
    <w:p>
      <w:pPr>
        <w:pStyle w:val="FirstParagraph"/>
      </w:pPr>
      <w:r>
        <w:t xml:space="preserve">The breast cancer cohorts TCGA, SCANB, METABRIC and POETIC</w:t>
      </w:r>
      <w:r>
        <w:t xml:space="preserve"> </w:t>
      </w:r>
      <w:r>
        <w:t xml:space="preserve">(1–4)</w:t>
      </w:r>
      <w:r>
        <w:t xml:space="preserve"> </w:t>
      </w:r>
      <w:r>
        <w:t xml:space="preserve">were used to calculate the PCA embeddings and scores. The samples are of</w:t>
      </w:r>
      <w:r>
        <w:t xml:space="preserve"> </w:t>
      </w:r>
      <w:r>
        <w:t xml:space="preserve">primary breast cancer samples from different molecular subtypes and age</w:t>
      </w:r>
      <w:r>
        <w:t xml:space="preserve"> </w:t>
      </w:r>
      <w:r>
        <w:t xml:space="preserve">distribution. TCGA was download from Firebrowse, SCANB data was downloaded</w:t>
      </w:r>
      <w:r>
        <w:t xml:space="preserve"> </w:t>
      </w:r>
      <w:r>
        <w:t xml:space="preserve">from GEO (accession code GSE96058)</w:t>
      </w:r>
      <w:r>
        <w:t xml:space="preserve"> </w:t>
      </w:r>
      <w:r>
        <w:t xml:space="preserve">using the package GEOquery</w:t>
      </w:r>
      <w:r>
        <w:t xml:space="preserve"> </w:t>
      </w:r>
      <w:r>
        <w:t xml:space="preserve">(5)</w:t>
      </w:r>
      <w:r>
        <w:t xml:space="preserve"> </w:t>
      </w:r>
      <w:r>
        <w:t xml:space="preserve">in R along the clinical data from the</w:t>
      </w:r>
      <w:r>
        <w:t xml:space="preserve"> </w:t>
      </w:r>
      <w:r>
        <w:t xml:space="preserve">https://oncogenomics.bmc.lu.se/MutationExplorer/ website. METABRIC</w:t>
      </w:r>
      <w:r>
        <w:t xml:space="preserve"> </w:t>
      </w:r>
      <w:r>
        <w:t xml:space="preserve">was downloaded directly from cBioPortal. POETIC data was downloaded</w:t>
      </w:r>
      <w:r>
        <w:t xml:space="preserve"> </w:t>
      </w:r>
      <w:r>
        <w:t xml:space="preserve">from GEO (accession code GSE105777) using the R package GEOquery.</w:t>
      </w:r>
      <w:r>
        <w:t xml:space="preserve"> </w:t>
      </w:r>
      <w:r>
        <w:t xml:space="preserve">More details about the download and preprocessing steps are described in</w:t>
      </w:r>
      <w:r>
        <w:t xml:space="preserve"> </w:t>
      </w:r>
      <w:r>
        <w:t xml:space="preserve">https://chronchi.github.io/transcriptomics.</w:t>
      </w:r>
    </w:p>
    <w:bookmarkEnd w:id="22"/>
    <w:bookmarkStart w:id="23" w:name="selection-of-highly-variable-genes"/>
    <w:p>
      <w:pPr>
        <w:pStyle w:val="Heading2"/>
      </w:pPr>
      <w:r>
        <w:t xml:space="preserve">Selection of highly variable genes</w:t>
      </w:r>
    </w:p>
    <w:p>
      <w:pPr>
        <w:pStyle w:val="FirstParagraph"/>
      </w:pPr>
      <w:r>
        <w:t xml:space="preserve">In order to perform the PCA, we sub selected 1000 common and</w:t>
      </w:r>
      <w:r>
        <w:t xml:space="preserve"> </w:t>
      </w:r>
      <w:r>
        <w:t xml:space="preserve">highly variable genes</w:t>
      </w:r>
      <w:r>
        <w:t xml:space="preserve"> </w:t>
      </w:r>
      <w:r>
        <w:t xml:space="preserve">in the TCGA and METABRIC cohorts. For each gene and in each cohort</w:t>
      </w:r>
      <w:r>
        <w:t xml:space="preserve"> </w:t>
      </w:r>
      <w:r>
        <w:t xml:space="preserve">separately, the standard deviation of that gene was calculated. Then an</w:t>
      </w:r>
      <w:r>
        <w:t xml:space="preserve"> </w:t>
      </w:r>
      <w:r>
        <w:t xml:space="preserve">average standard deviation was calculated using the formula below.</w:t>
      </w:r>
    </w:p>
    <w:p>
      <w:pPr>
        <w:pStyle w:val="BodyText"/>
      </w:pPr>
      <m:oMathPara>
        <m:oMathParaPr>
          <m:jc m:val="center"/>
        </m:oMathParaPr>
        <m:oMath>
          <m:r>
            <m:rPr>
              <m:nor/>
              <m:sty m:val="p"/>
            </m:rPr>
            <m:t>average sd</m:t>
          </m:r>
          <m:r>
            <m:rPr>
              <m:sty m:val="p"/>
            </m:rPr>
            <m:t>=</m:t>
          </m:r>
          <m:rad>
            <m:radPr>
              <m:degHide m:val="1"/>
            </m:radPr>
            <m:deg/>
            <m:e>
              <m:f>
                <m:fPr>
                  <m:type m:val="bar"/>
                </m:fPr>
                <m:num>
                  <m:d>
                    <m:dPr>
                      <m:begChr m:val="("/>
                      <m:endChr m:val=")"/>
                      <m:sepChr m:val=""/>
                      <m:grow/>
                    </m:dPr>
                    <m:e>
                      <m:r>
                        <m:t>s</m:t>
                      </m:r>
                      <m:sSubSup>
                        <m:e>
                          <m:r>
                            <m:t>d</m:t>
                          </m:r>
                        </m:e>
                        <m:sub>
                          <m:r>
                            <m:t>T</m:t>
                          </m:r>
                          <m:r>
                            <m:t>C</m:t>
                          </m:r>
                          <m:r>
                            <m:t>G</m:t>
                          </m:r>
                          <m:r>
                            <m:t>A</m:t>
                          </m:r>
                        </m:sub>
                        <m:sup>
                          <m:r>
                            <m:t>2</m:t>
                          </m:r>
                        </m:sup>
                      </m:sSubSup>
                      <m:r>
                        <m:rPr>
                          <m:sty m:val="p"/>
                        </m:rPr>
                        <m:t>+</m:t>
                      </m:r>
                      <m:r>
                        <m:t>s</m:t>
                      </m:r>
                      <m:sSubSup>
                        <m:e>
                          <m:r>
                            <m:t>d</m:t>
                          </m:r>
                        </m:e>
                        <m:sub>
                          <m:r>
                            <m:t>M</m:t>
                          </m:r>
                          <m:r>
                            <m:t>E</m:t>
                          </m:r>
                          <m:r>
                            <m:t>T</m:t>
                          </m:r>
                          <m:r>
                            <m:t>A</m:t>
                          </m:r>
                          <m:r>
                            <m:t>B</m:t>
                          </m:r>
                          <m:r>
                            <m:t>R</m:t>
                          </m:r>
                          <m:r>
                            <m:t>I</m:t>
                          </m:r>
                          <m:r>
                            <m:t>C</m:t>
                          </m:r>
                        </m:sub>
                        <m:sup>
                          <m:r>
                            <m:t>2</m:t>
                          </m:r>
                        </m:sup>
                      </m:sSubSup>
                    </m:e>
                  </m:d>
                </m:num>
                <m:den>
                  <m:r>
                    <m:t>k</m:t>
                  </m:r>
                </m:den>
              </m:f>
            </m:e>
          </m:rad>
        </m:oMath>
      </m:oMathPara>
    </w:p>
    <w:bookmarkEnd w:id="23"/>
    <w:bookmarkStart w:id="24" w:name="qpcr-like-normalization"/>
    <w:p>
      <w:pPr>
        <w:pStyle w:val="Heading2"/>
      </w:pPr>
      <w:r>
        <w:t xml:space="preserve">qPCR-like normalization</w:t>
      </w:r>
    </w:p>
    <w:p>
      <w:pPr>
        <w:pStyle w:val="FirstParagraph"/>
      </w:pPr>
      <w:r>
        <w:t xml:space="preserve">Since samples are coming from different platforms, they need to be</w:t>
      </w:r>
      <w:r>
        <w:t xml:space="preserve"> </w:t>
      </w:r>
      <w:r>
        <w:t xml:space="preserve">scaled in a way that they are comparable. For this we developed a new way</w:t>
      </w:r>
      <w:r>
        <w:t xml:space="preserve"> </w:t>
      </w:r>
      <w:r>
        <w:t xml:space="preserve">to scale the data based on the ranking of the samples. Given a list of 44</w:t>
      </w:r>
      <w:r>
        <w:t xml:space="preserve"> </w:t>
      </w:r>
      <w:r>
        <w:t xml:space="preserve">stable genes across different cancers</w:t>
      </w:r>
      <w:r>
        <w:t xml:space="preserve"> </w:t>
      </w:r>
      <w:r>
        <w:t xml:space="preserve">(6)</w:t>
      </w:r>
      <w:r>
        <w:t xml:space="preserve"> </w:t>
      </w:r>
      <w:r>
        <w:t xml:space="preserve">and the 1000</w:t>
      </w:r>
      <w:r>
        <w:t xml:space="preserve"> </w:t>
      </w:r>
      <w:r>
        <w:t xml:space="preserve">genes selected previously, all genes were ranked from lowest to highest</w:t>
      </w:r>
      <w:r>
        <w:t xml:space="preserve"> </w:t>
      </w:r>
      <w:r>
        <w:t xml:space="preserve">expression for each sample separately and the rankings were divided by</w:t>
      </w:r>
      <w:r>
        <w:t xml:space="preserve"> </w:t>
      </w:r>
      <w:r>
        <w:t xml:space="preserve">the average ranking of the stable genes. Stable genes are considered</w:t>
      </w:r>
      <w:r>
        <w:t xml:space="preserve"> </w:t>
      </w:r>
      <w:r>
        <w:t xml:space="preserve">the housekeeping genes.</w:t>
      </w:r>
    </w:p>
    <w:bookmarkEnd w:id="24"/>
    <w:bookmarkStart w:id="25" w:name="pca-embedding"/>
    <w:p>
      <w:pPr>
        <w:pStyle w:val="Heading2"/>
      </w:pPr>
      <w:r>
        <w:t xml:space="preserve">PCA embedding</w:t>
      </w:r>
    </w:p>
    <w:p>
      <w:pPr>
        <w:pStyle w:val="FirstParagraph"/>
      </w:pPr>
      <w:r>
        <w:t xml:space="preserve">Using the normalized data, a total of 1000 random samples</w:t>
      </w:r>
      <w:r>
        <w:t xml:space="preserve"> </w:t>
      </w:r>
      <w:r>
        <w:t xml:space="preserve">coming from TCGA and METABRIC were selected to perform the initial PCA.</w:t>
      </w:r>
      <w:r>
        <w:t xml:space="preserve"> </w:t>
      </w:r>
      <w:r>
        <w:t xml:space="preserve">This is an unsupervised learning method, therefore there is no need to label</w:t>
      </w:r>
      <w:r>
        <w:t xml:space="preserve"> </w:t>
      </w:r>
      <w:r>
        <w:t xml:space="preserve">the samples with respect to some category. The package PCAtools</w:t>
      </w:r>
      <w:r>
        <w:t xml:space="preserve"> </w:t>
      </w:r>
      <w:r>
        <w:t xml:space="preserve">(7)</w:t>
      </w:r>
      <w:r>
        <w:t xml:space="preserve"> </w:t>
      </w:r>
      <w:r>
        <w:t xml:space="preserve">in R was used to perform the PCA and to obtain the loadings for</w:t>
      </w:r>
      <w:r>
        <w:t xml:space="preserve"> </w:t>
      </w:r>
      <w:r>
        <w:t xml:space="preserve">downstream analysis. The embedding for new individual samples is obtained</w:t>
      </w:r>
      <w:r>
        <w:t xml:space="preserve"> </w:t>
      </w:r>
      <w:r>
        <w:t xml:space="preserve">by multiplying the loadings matrix with the normalized data for that sample.</w:t>
      </w:r>
      <w:r>
        <w:t xml:space="preserve"> </w:t>
      </w:r>
      <w:r>
        <w:t xml:space="preserve">Since the normalization procedure is performed sample-wise, this step is</w:t>
      </w:r>
      <w:r>
        <w:t xml:space="preserve"> </w:t>
      </w:r>
      <w:r>
        <w:t xml:space="preserve">independent of the number of samples. If there are missing genes in a sample,</w:t>
      </w:r>
      <w:r>
        <w:t xml:space="preserve"> </w:t>
      </w:r>
      <w:r>
        <w:t xml:space="preserve">the normalization is performed and the missing genes are padded with 0.</w:t>
      </w:r>
    </w:p>
    <w:bookmarkEnd w:id="25"/>
    <w:bookmarkStart w:id="26" w:name="scoring-strategies"/>
    <w:p>
      <w:pPr>
        <w:pStyle w:val="Heading2"/>
      </w:pPr>
      <w:r>
        <w:t xml:space="preserve">Scoring strategies</w:t>
      </w:r>
    </w:p>
    <w:p>
      <w:pPr>
        <w:pStyle w:val="FirstParagraph"/>
      </w:pPr>
      <w:r>
        <w:t xml:space="preserve">For the 4 big cohorts, TCGA, SCANB, METABRIC and POETIC, GSVA</w:t>
      </w:r>
      <w:r>
        <w:t xml:space="preserve"> </w:t>
      </w:r>
      <w:r>
        <w:t xml:space="preserve">(8)</w:t>
      </w:r>
      <w:r>
        <w:t xml:space="preserve"> </w:t>
      </w:r>
      <w:r>
        <w:t xml:space="preserve">was applied along with the</w:t>
      </w:r>
      <w:r>
        <w:t xml:space="preserve"> </w:t>
      </w:r>
      <m:oMath>
        <m:r>
          <m:t>S</m:t>
        </m:r>
        <m:r>
          <m:t>E</m:t>
        </m:r>
        <m:sSub>
          <m:e>
            <m:r>
              <m:t>T</m:t>
            </m:r>
          </m:e>
          <m:sub>
            <m:r>
              <m:t>E</m:t>
            </m:r>
            <m:r>
              <m:t>R</m:t>
            </m:r>
            <m:r>
              <m:rPr>
                <m:sty m:val="p"/>
              </m:rPr>
              <m:t>/</m:t>
            </m:r>
            <m:r>
              <m:t>P</m:t>
            </m:r>
            <m:r>
              <m:t>R</m:t>
            </m:r>
          </m:sub>
        </m:sSub>
      </m:oMath>
      <w:r>
        <w:t xml:space="preserve"> </w:t>
      </w:r>
      <w:r>
        <w:t xml:space="preserve">signature</w:t>
      </w:r>
      <w:r>
        <w:t xml:space="preserve"> </w:t>
      </w:r>
      <w:r>
        <w:t xml:space="preserve">(9)</w:t>
      </w:r>
      <w:r>
        <w:t xml:space="preserve"> </w:t>
      </w:r>
      <w:r>
        <w:t xml:space="preserve">and the hallmark collection from the molecular signature</w:t>
      </w:r>
      <w:r>
        <w:t xml:space="preserve"> </w:t>
      </w:r>
      <w:r>
        <w:t xml:space="preserve">database</w:t>
      </w:r>
      <w:r>
        <w:t xml:space="preserve"> </w:t>
      </w:r>
      <w:r>
        <w:t xml:space="preserve">(10,11)</w:t>
      </w:r>
      <w:r>
        <w:t xml:space="preserve">. Default parameters were used</w:t>
      </w:r>
      <w:r>
        <w:t xml:space="preserve"> </w:t>
      </w:r>
      <w:r>
        <w:t xml:space="preserve">in the</w:t>
      </w:r>
      <w:r>
        <w:t xml:space="preserve"> </w:t>
      </w:r>
      <w:r>
        <w:rPr>
          <w:rStyle w:val="VerbatimChar"/>
        </w:rPr>
        <w:t xml:space="preserve">gsva</w:t>
      </w:r>
      <w:r>
        <w:t xml:space="preserve"> </w:t>
      </w:r>
      <w:r>
        <w:t xml:space="preserve">function from the GSVA package.</w:t>
      </w:r>
    </w:p>
    <w:bookmarkEnd w:id="26"/>
    <w:bookmarkStart w:id="27" w:name="average-neighborhood-scores"/>
    <w:p>
      <w:pPr>
        <w:pStyle w:val="Heading2"/>
      </w:pPr>
      <w:r>
        <w:t xml:space="preserve">Average neighborhood scores</w:t>
      </w:r>
    </w:p>
    <w:p>
      <w:pPr>
        <w:pStyle w:val="FirstParagraph"/>
      </w:pPr>
      <w:r>
        <w:t xml:space="preserve">In order to calculate the posterior distribution of the average scores</w:t>
      </w:r>
      <w:r>
        <w:t xml:space="preserve"> </w:t>
      </w:r>
      <w:r>
        <w:t xml:space="preserve">in each neighborhood, a linear regression witho only intercept was</w:t>
      </w:r>
      <w:r>
        <w:t xml:space="preserve"> </w:t>
      </w:r>
      <w:r>
        <w:t xml:space="preserve">fit using</w:t>
      </w:r>
      <w:r>
        <w:t xml:space="preserve"> </w:t>
      </w:r>
      <w:r>
        <w:rPr>
          <w:rStyle w:val="VerbatimChar"/>
        </w:rPr>
        <w:t xml:space="preserve">rstanarm</w:t>
      </w:r>
      <w:r>
        <w:t xml:space="preserve"> </w:t>
      </w:r>
      <w:r>
        <w:t xml:space="preserve">(12)</w:t>
      </w:r>
      <w:r>
        <w:t xml:space="preserve">.</w:t>
      </w:r>
      <w:r>
        <w:t xml:space="preserve"> </w:t>
      </w:r>
      <w:r>
        <w:t xml:space="preserve">The package</w:t>
      </w:r>
      <w:r>
        <w:t xml:space="preserve"> </w:t>
      </w:r>
      <w:r>
        <w:rPr>
          <w:rStyle w:val="VerbatimChar"/>
        </w:rPr>
        <w:t xml:space="preserve">tidybayes</w:t>
      </w:r>
      <w:r>
        <w:t xml:space="preserve"> </w:t>
      </w:r>
      <w:r>
        <w:t xml:space="preserve">(13)</w:t>
      </w:r>
      <w:r>
        <w:t xml:space="preserve"> </w:t>
      </w:r>
      <w:r>
        <w:t xml:space="preserve">was used to extract</w:t>
      </w:r>
      <w:r>
        <w:t xml:space="preserve"> </w:t>
      </w:r>
      <w:r>
        <w:t xml:space="preserve">the draws and put them in a tidy format.</w:t>
      </w:r>
    </w:p>
    <w:bookmarkEnd w:id="27"/>
    <w:bookmarkStart w:id="29" w:name="code-availability"/>
    <w:p>
      <w:pPr>
        <w:pStyle w:val="Heading2"/>
      </w:pPr>
      <w:r>
        <w:t xml:space="preserve">Code availability</w:t>
      </w:r>
    </w:p>
    <w:p>
      <w:pPr>
        <w:pStyle w:val="FirstParagraph"/>
      </w:pPr>
      <w:r>
        <w:t xml:space="preserve">The code used to generate all the analysis is available on</w:t>
      </w:r>
      <w:r>
        <w:t xml:space="preserve"> </w:t>
      </w:r>
      <w:r>
        <w:t xml:space="preserve">https://github.com/chronchi/molecular_landscape. Descriptions for</w:t>
      </w:r>
      <w:r>
        <w:t xml:space="preserve"> </w:t>
      </w:r>
      <w:r>
        <w:t xml:space="preserve">a docker image to reproduce the analysis are available on the github</w:t>
      </w:r>
      <w:r>
        <w:t xml:space="preserve"> </w:t>
      </w:r>
      <w:r>
        <w:t xml:space="preserve">repository. An online version with a website containing all the analysis</w:t>
      </w:r>
      <w:r>
        <w:t xml:space="preserve"> </w:t>
      </w:r>
      <w:r>
        <w:t xml:space="preserve">can be found on</w:t>
      </w:r>
      <w:r>
        <w:t xml:space="preserve"> </w:t>
      </w:r>
      <w:hyperlink r:id="rId28">
        <w:r>
          <w:rPr>
            <w:rStyle w:val="Hyperlink"/>
          </w:rPr>
          <w:t xml:space="preserve">https://chronchi.github.io/molecular_landscape</w:t>
        </w:r>
      </w:hyperlink>
    </w:p>
    <w:bookmarkEnd w:id="29"/>
    <w:bookmarkEnd w:id="30"/>
    <w:bookmarkStart w:id="51" w:name="results"/>
    <w:p>
      <w:pPr>
        <w:pStyle w:val="Heading1"/>
      </w:pPr>
      <w:r>
        <w:t xml:space="preserve">Results</w:t>
      </w:r>
    </w:p>
    <w:bookmarkStart w:id="35" w:name="Xa7852579298aa6aec6315c0a2aa7049de59aaf0"/>
    <w:p>
      <w:pPr>
        <w:pStyle w:val="Heading2"/>
      </w:pPr>
      <w:r>
        <w:t xml:space="preserve">Estrogen receptor is a clinical continuous variable</w:t>
      </w:r>
    </w:p>
    <w:p>
      <w:pPr>
        <w:pStyle w:val="FirstParagraph"/>
      </w:pPr>
      <w:r>
        <w:t xml:space="preserve">We used three independent breast cancer molecular datasets</w:t>
      </w:r>
      <w:r>
        <w:t xml:space="preserve"> </w:t>
      </w:r>
      <w:r>
        <w:t xml:space="preserve">(1–3)</w:t>
      </w:r>
      <w:r>
        <w:t xml:space="preserve"> </w:t>
      </w:r>
      <w:r>
        <w:t xml:space="preserve">to calculate estrogen signaling scores.</w:t>
      </w:r>
      <w:r>
        <w:t xml:space="preserve"> </w:t>
      </w:r>
      <w:r>
        <w:t xml:space="preserve">The estrogen signatures HALLMARK_ESTROGEN_RESPONSE_EARLY and</w:t>
      </w:r>
      <w:r>
        <w:t xml:space="preserve"> </w:t>
      </w:r>
      <w:r>
        <w:t xml:space="preserve">HALLMARK_ESTROGEN_RESPONSE_LATE were extracted from the molecular signature</w:t>
      </w:r>
      <w:r>
        <w:t xml:space="preserve"> </w:t>
      </w:r>
      <w:r>
        <w:t xml:space="preserve">database</w:t>
      </w:r>
      <w:r>
        <w:t xml:space="preserve"> </w:t>
      </w:r>
      <w:r>
        <w:t xml:space="preserve">(10)</w:t>
      </w:r>
      <w:r>
        <w:t xml:space="preserve"> </w:t>
      </w:r>
      <w:r>
        <w:t xml:space="preserve">and</w:t>
      </w:r>
      <w:r>
        <w:t xml:space="preserve"> </w:t>
      </w:r>
      <m:oMath>
        <m:r>
          <m:t>S</m:t>
        </m:r>
        <m:r>
          <m:t>E</m:t>
        </m:r>
        <m:sSub>
          <m:e>
            <m:r>
              <m:t>T</m:t>
            </m:r>
          </m:e>
          <m:sub>
            <m:r>
              <m:t>E</m:t>
            </m:r>
            <m:r>
              <m:t>R</m:t>
            </m:r>
            <m:r>
              <m:rPr>
                <m:sty m:val="p"/>
              </m:rPr>
              <m:t>/</m:t>
            </m:r>
            <m:r>
              <m:t>P</m:t>
            </m:r>
            <m:r>
              <m:t>R</m:t>
            </m:r>
          </m:sub>
        </m:sSub>
      </m:oMath>
      <w:r>
        <w:t xml:space="preserve"> </w:t>
      </w:r>
      <w:r>
        <w:t xml:space="preserve">from</w:t>
      </w:r>
      <w:r>
        <w:t xml:space="preserve"> </w:t>
      </w:r>
      <w:r>
        <w:t xml:space="preserve">(9)</w:t>
      </w:r>
      <w:r>
        <w:t xml:space="preserve">. The individual</w:t>
      </w:r>
      <w:r>
        <w:t xml:space="preserve"> </w:t>
      </w:r>
      <w:r>
        <w:t xml:space="preserve">scores for each patient sample</w:t>
      </w:r>
      <w:r>
        <w:t xml:space="preserve"> </w:t>
      </w:r>
      <w:r>
        <w:t xml:space="preserve">are shown in</w:t>
      </w:r>
      <w:r>
        <w:t xml:space="preserve"> </w:t>
      </w:r>
      <w:hyperlink w:anchor="fig-01">
        <w:r>
          <w:rPr>
            <w:rStyle w:val="Hyperlink"/>
          </w:rPr>
          <w:t xml:space="preserve">Figure 1</w:t>
        </w:r>
      </w:hyperlink>
      <w:r>
        <w:t xml:space="preserve"> </w:t>
      </w:r>
      <w:r>
        <w:t xml:space="preserve">(a) for each cohort stratified by</w:t>
      </w:r>
      <w:r>
        <w:t xml:space="preserve"> </w:t>
      </w:r>
      <w:r>
        <w:t xml:space="preserve">estrogen receptor status. It shows the scores capture the differences</w:t>
      </w:r>
      <w:r>
        <w:t xml:space="preserve"> </w:t>
      </w:r>
      <w:r>
        <w:t xml:space="preserve">between the two breast cancer subtypes as expected. Moreover, there is a</w:t>
      </w:r>
      <w:r>
        <w:t xml:space="preserve"> </w:t>
      </w:r>
      <w:r>
        <w:t xml:space="preserve">wide range of values in the estrogen receptor positive (ER+) subgroup.</w:t>
      </w:r>
    </w:p>
    <w:p>
      <w:pPr>
        <w:pStyle w:val="BodyText"/>
      </w:pPr>
      <w:r>
        <w:t xml:space="preserve">Cox regression was used to determine the hazard ratio of the estrogen signaling</w:t>
      </w:r>
      <w:r>
        <w:t xml:space="preserve"> </w:t>
      </w:r>
      <w:r>
        <w:t xml:space="preserve">in overall survival (OS) for TCGA, SCANB and METABRIC and</w:t>
      </w:r>
      <w:r>
        <w:t xml:space="preserve"> </w:t>
      </w:r>
      <w:r>
        <w:t xml:space="preserve">recurrence free survival (RFS) for METABRIC. Each survival analysis was done</w:t>
      </w:r>
      <w:r>
        <w:t xml:space="preserve"> </w:t>
      </w:r>
      <w:r>
        <w:t xml:space="preserve">independently and adjusted for available clinical variables. Tumor size and</w:t>
      </w:r>
      <w:r>
        <w:t xml:space="preserve"> </w:t>
      </w:r>
      <w:r>
        <w:t xml:space="preserve">number of lymph nodes were used for TCGA and SCANB cohorts. The Nottingham</w:t>
      </w:r>
      <w:r>
        <w:t xml:space="preserve"> </w:t>
      </w:r>
      <w:r>
        <w:t xml:space="preserve">prognostic index (NPI) was used for METABRIC. Age was used in all cohorts</w:t>
      </w:r>
      <w:r>
        <w:t xml:space="preserve"> </w:t>
      </w:r>
      <w:r>
        <w:t xml:space="preserve">as a clinical variable for adjustment. Only ER+ BC patients were used and</w:t>
      </w:r>
      <w:r>
        <w:t xml:space="preserve"> </w:t>
      </w:r>
      <w:r>
        <w:t xml:space="preserve">when possible only those that received endocrine therapy.</w:t>
      </w:r>
      <w:r>
        <w:t xml:space="preserve"> </w:t>
      </w:r>
      <w:hyperlink w:anchor="fig-01">
        <w:r>
          <w:rPr>
            <w:rStyle w:val="Hyperlink"/>
          </w:rPr>
          <w:t xml:space="preserve">Figure 1</w:t>
        </w:r>
      </w:hyperlink>
      <w:r>
        <w:t xml:space="preserve"> </w:t>
      </w:r>
      <w:r>
        <w:t xml:space="preserve">(b) shows the forest plots for each cohort individually</w:t>
      </w:r>
      <w:r>
        <w:t xml:space="preserve"> </w:t>
      </w:r>
      <w:r>
        <w:t xml:space="preserve">when calculating the hazard ratio for the</w:t>
      </w:r>
      <w:r>
        <w:t xml:space="preserve"> </w:t>
      </w:r>
      <m:oMath>
        <m:r>
          <m:t>S</m:t>
        </m:r>
        <m:r>
          <m:t>E</m:t>
        </m:r>
        <m:sSub>
          <m:e>
            <m:r>
              <m:t>T</m:t>
            </m:r>
          </m:e>
          <m:sub>
            <m:r>
              <m:t>E</m:t>
            </m:r>
            <m:r>
              <m:t>R</m:t>
            </m:r>
            <m:r>
              <m:rPr>
                <m:sty m:val="p"/>
              </m:rPr>
              <m:t>/</m:t>
            </m:r>
            <m:r>
              <m:t>P</m:t>
            </m:r>
            <m:r>
              <m:t>R</m:t>
            </m:r>
          </m:sub>
        </m:sSub>
      </m:oMath>
      <w:r>
        <w:t xml:space="preserve"> </w:t>
      </w:r>
      <w:r>
        <w:t xml:space="preserve">estrogen signaling signature. In all the three cases, the</w:t>
      </w:r>
      <w:r>
        <w:t xml:space="preserve"> </w:t>
      </w:r>
      <w:r>
        <w:t xml:space="preserve">hazard ratio for</w:t>
      </w:r>
      <w:r>
        <w:t xml:space="preserve"> </w:t>
      </w:r>
      <m:oMath>
        <m:r>
          <m:t>S</m:t>
        </m:r>
        <m:r>
          <m:t>E</m:t>
        </m:r>
        <m:sSub>
          <m:e>
            <m:r>
              <m:t>T</m:t>
            </m:r>
          </m:e>
          <m:sub>
            <m:r>
              <m:t>E</m:t>
            </m:r>
            <m:r>
              <m:t>R</m:t>
            </m:r>
            <m:r>
              <m:rPr>
                <m:sty m:val="p"/>
              </m:rPr>
              <m:t>/</m:t>
            </m:r>
            <m:r>
              <m:t>P</m:t>
            </m:r>
            <m:r>
              <m:t>R</m:t>
            </m:r>
          </m:sub>
        </m:sSub>
      </m:oMath>
      <w:r>
        <w:t xml:space="preserve"> </w:t>
      </w:r>
      <w:r>
        <w:t xml:space="preserve">was below 1, with values ranging from</w:t>
      </w:r>
      <w:r>
        <w:t xml:space="preserve"> </w:t>
      </w:r>
      <w:r>
        <w:t xml:space="preserve">0.23 to 0.61. There is moderate variability for each hazard ratio.</w:t>
      </w:r>
      <w:r>
        <w:t xml:space="preserve"> </w:t>
      </w:r>
      <w:r>
        <w:t xml:space="preserve">This shows the continuous aspect of estrogen receptor status.</w:t>
      </w:r>
    </w:p>
    <w:tbl>
      <w:tblPr>
        <w:tblStyle w:val="Table"/>
        <w:tblW w:type="pct" w:w="5000"/>
        <w:tblLook w:firstRow="0" w:lastRow="0" w:firstColumn="0" w:lastColumn="0" w:noHBand="0" w:noVBand="0" w:val="0000"/>
      </w:tblPr>
      <w:tblGrid>
        <w:gridCol w:w="7920"/>
      </w:tblGrid>
      <w:tr>
        <w:tc>
          <w:tcPr/>
          <w:bookmarkStart w:id="34" w:name="fig-01"/>
          <w:p>
            <w:pPr>
              <w:pStyle w:val="Figure"/>
              <w:jc w:val="center"/>
            </w:pPr>
            <w:r>
              <w:drawing>
                <wp:inline>
                  <wp:extent cx="5334000" cy="4124722"/>
                  <wp:effectExtent b="0" l="0" r="0" t="0"/>
                  <wp:docPr descr="" title="" id="32" name="Picture"/>
                  <a:graphic>
                    <a:graphicData uri="http://schemas.openxmlformats.org/drawingml/2006/picture">
                      <pic:pic>
                        <pic:nvPicPr>
                          <pic:cNvPr descr="images/png/figure01.png" id="33" name="Picture"/>
                          <pic:cNvPicPr>
                            <a:picLocks noChangeArrowheads="1" noChangeAspect="1"/>
                          </pic:cNvPicPr>
                        </pic:nvPicPr>
                        <pic:blipFill>
                          <a:blip r:embed="rId31"/>
                          <a:stretch>
                            <a:fillRect/>
                          </a:stretch>
                        </pic:blipFill>
                        <pic:spPr bwMode="auto">
                          <a:xfrm>
                            <a:off x="0" y="0"/>
                            <a:ext cx="5334000" cy="41247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Scores and survival analysis results from TCGA, SCANB and METABRIC cohorts. (a) GSVA scores for the SET ER/PR signature for each cohort. Each point corresponds to a patient sample and they are divided by estrogen receptor status. (b) Forest plot of the survival analysis for each cohort separately. NPI: Nottingham prognostic index. Ti: i-th stage of tumor. Ni: i lymph nodes with breast cancer cells.</w:t>
            </w:r>
          </w:p>
          <w:bookmarkEnd w:id="34"/>
        </w:tc>
      </w:tr>
    </w:tbl>
    <w:bookmarkEnd w:id="35"/>
    <w:bookmarkStart w:id="40" w:name="X2f6208039ce2e3ad2a2fd5cafe5356ffe0ce082"/>
    <w:p>
      <w:pPr>
        <w:pStyle w:val="Heading2"/>
      </w:pPr>
      <w:r>
        <w:t xml:space="preserve">Single sample integration preserves relevant breast cancer properties</w:t>
      </w:r>
    </w:p>
    <w:p>
      <w:pPr>
        <w:pStyle w:val="FirstParagraph"/>
      </w:pPr>
      <w:r>
        <w:t xml:space="preserve">Since each patient has a different ER signaling score, we assumed that</w:t>
      </w:r>
      <w:r>
        <w:t xml:space="preserve"> </w:t>
      </w:r>
      <w:r>
        <w:t xml:space="preserve">patients should be treated individually, not just binned in two big</w:t>
      </w:r>
      <w:r>
        <w:t xml:space="preserve"> </w:t>
      </w:r>
      <w:r>
        <w:t xml:space="preserve">subgroups as ER+ and ER-. Therefore, it is important to consider each</w:t>
      </w:r>
      <w:r>
        <w:t xml:space="preserve"> </w:t>
      </w:r>
      <w:r>
        <w:t xml:space="preserve">patient individually. We developed a single sample</w:t>
      </w:r>
      <w:r>
        <w:t xml:space="preserve"> </w:t>
      </w:r>
      <w:r>
        <w:t xml:space="preserve">batch effect removal method</w:t>
      </w:r>
      <w:r>
        <w:t xml:space="preserve"> </w:t>
      </w:r>
      <w:r>
        <w:t xml:space="preserve">(See methods section for the step by step)</w:t>
      </w:r>
      <w:r>
        <w:t xml:space="preserve"> </w:t>
      </w:r>
      <w:r>
        <w:t xml:space="preserve">to integrate microarray and bulk RNA-seq and create a molecular landscape.</w:t>
      </w:r>
      <w:r>
        <w:t xml:space="preserve"> </w:t>
      </w:r>
      <w:r>
        <w:t xml:space="preserve">The advantage of the method is that</w:t>
      </w:r>
      <w:r>
        <w:t xml:space="preserve"> </w:t>
      </w:r>
      <w:r>
        <w:t xml:space="preserve">given a new sample, it can easily be integrated with all the other previous</w:t>
      </w:r>
      <w:r>
        <w:t xml:space="preserve"> </w:t>
      </w:r>
      <w:r>
        <w:t xml:space="preserve">samples without any retraining.</w:t>
      </w:r>
    </w:p>
    <w:p>
      <w:pPr>
        <w:pStyle w:val="BodyText"/>
      </w:pPr>
      <w:r>
        <w:t xml:space="preserve">The biplot in</w:t>
      </w:r>
      <w:r>
        <w:t xml:space="preserve"> </w:t>
      </w:r>
      <w:hyperlink w:anchor="fig-02">
        <w:r>
          <w:rPr>
            <w:rStyle w:val="Hyperlink"/>
          </w:rPr>
          <w:t xml:space="preserve">Figure 2</w:t>
        </w:r>
      </w:hyperlink>
      <w:r>
        <w:t xml:space="preserve"> </w:t>
      </w:r>
      <w:r>
        <w:t xml:space="preserve">(a) with the third and fourth</w:t>
      </w:r>
      <w:r>
        <w:t xml:space="preserve"> </w:t>
      </w:r>
      <w:r>
        <w:t xml:space="preserve">components from TCGA and METABRIC samples shows that the samples are well</w:t>
      </w:r>
      <w:r>
        <w:t xml:space="preserve"> </w:t>
      </w:r>
      <w:r>
        <w:t xml:space="preserve">integrated. All samples, including those using for training</w:t>
      </w:r>
      <w:r>
        <w:t xml:space="preserve"> </w:t>
      </w:r>
      <w:r>
        <w:t xml:space="preserve">and validation, are plotted. The third components corresponds</w:t>
      </w:r>
      <w:r>
        <w:t xml:space="preserve"> </w:t>
      </w:r>
      <w:r>
        <w:t xml:space="preserve">to the separation between ER+ and ER- BC patients in</w:t>
      </w:r>
      <w:r>
        <w:t xml:space="preserve"> </w:t>
      </w:r>
      <w:r>
        <w:t xml:space="preserve">both cohorts (</w:t>
      </w:r>
      <w:hyperlink w:anchor="fig-02">
        <w:r>
          <w:rPr>
            <w:rStyle w:val="Hyperlink"/>
          </w:rPr>
          <w:t xml:space="preserve">Figure 2</w:t>
        </w:r>
      </w:hyperlink>
      <w:r>
        <w:t xml:space="preserve"> </w:t>
      </w:r>
      <w:r>
        <w:t xml:space="preserve">(b)). A combination of the third and fourth components</w:t>
      </w:r>
      <w:r>
        <w:t xml:space="preserve"> </w:t>
      </w:r>
      <w:r>
        <w:t xml:space="preserve">shows a good distinction among the PAM50 molecular subtypes (</w:t>
      </w:r>
      <w:hyperlink w:anchor="fig-02">
        <w:r>
          <w:rPr>
            <w:rStyle w:val="Hyperlink"/>
          </w:rPr>
          <w:t xml:space="preserve">Figure 2</w:t>
        </w:r>
      </w:hyperlink>
      <w:r>
        <w:t xml:space="preserve"> </w:t>
      </w:r>
      <w:r>
        <w:t xml:space="preserve">(c)).</w:t>
      </w:r>
      <w:r>
        <w:t xml:space="preserve"> </w:t>
      </w:r>
      <w:r>
        <w:t xml:space="preserve">The fourth component is mostly dividing the luminal A and luminal B subtypes,</w:t>
      </w:r>
      <w:r>
        <w:t xml:space="preserve"> </w:t>
      </w:r>
      <w:r>
        <w:t xml:space="preserve">whereas the normal-like subtype is spread across the third and fourth</w:t>
      </w:r>
      <w:r>
        <w:t xml:space="preserve"> </w:t>
      </w:r>
      <w:r>
        <w:t xml:space="preserve">component. This also highlights the fact that one cannot interpret the</w:t>
      </w:r>
      <w:r>
        <w:t xml:space="preserve"> </w:t>
      </w:r>
      <w:r>
        <w:t xml:space="preserve">PCA locations globally, rather when comparing samples one should consider</w:t>
      </w:r>
      <w:r>
        <w:t xml:space="preserve"> </w:t>
      </w:r>
      <w:r>
        <w:t xml:space="preserve">only its neighborhood. As pointed out before, ER status should be considered</w:t>
      </w:r>
      <w:r>
        <w:t xml:space="preserve"> </w:t>
      </w:r>
      <w:r>
        <w:t xml:space="preserve">continuous and not dichotomous,</w:t>
      </w:r>
      <w:r>
        <w:t xml:space="preserve"> </w:t>
      </w:r>
      <w:hyperlink w:anchor="fig-02">
        <w:r>
          <w:rPr>
            <w:rStyle w:val="Hyperlink"/>
          </w:rPr>
          <w:t xml:space="preserve">Figure 2</w:t>
        </w:r>
      </w:hyperlink>
      <w:r>
        <w:t xml:space="preserve"> </w:t>
      </w:r>
      <w:r>
        <w:t xml:space="preserve">(d) shows a gradient of the</w:t>
      </w:r>
      <w:r>
        <w:t xml:space="preserve"> </w:t>
      </w:r>
      <w:r>
        <w:t xml:space="preserve">ER signaling score</w:t>
      </w:r>
      <w:r>
        <w:t xml:space="preserve"> </w:t>
      </w:r>
      <m:oMath>
        <m:r>
          <m:t>S</m:t>
        </m:r>
        <m:r>
          <m:t>E</m:t>
        </m:r>
        <m:sSub>
          <m:e>
            <m:r>
              <m:t>T</m:t>
            </m:r>
          </m:e>
          <m:sub>
            <m:r>
              <m:t>E</m:t>
            </m:r>
            <m:r>
              <m:t>R</m:t>
            </m:r>
            <m:r>
              <m:rPr>
                <m:sty m:val="p"/>
              </m:rPr>
              <m:t>/</m:t>
            </m:r>
            <m:r>
              <m:t>P</m:t>
            </m:r>
            <m:r>
              <m:t>R</m:t>
            </m:r>
          </m:sub>
        </m:sSub>
      </m:oMath>
      <w:r>
        <w:t xml:space="preserve">. The higher values are on the far right</w:t>
      </w:r>
      <w:r>
        <w:t xml:space="preserve"> </w:t>
      </w:r>
      <w:r>
        <w:t xml:space="preserve">of the third component, going to negative values as one goes from right</w:t>
      </w:r>
      <w:r>
        <w:t xml:space="preserve"> </w:t>
      </w:r>
      <w:r>
        <w:t xml:space="preserve">to left, i.e., moving from a more ER+ status to the ER-.</w:t>
      </w:r>
    </w:p>
    <w:tbl>
      <w:tblPr>
        <w:tblStyle w:val="Table"/>
        <w:tblW w:type="pct" w:w="5000"/>
        <w:tblLook w:firstRow="0" w:lastRow="0" w:firstColumn="0" w:lastColumn="0" w:noHBand="0" w:noVBand="0" w:val="0000"/>
      </w:tblPr>
      <w:tblGrid>
        <w:gridCol w:w="7920"/>
      </w:tblGrid>
      <w:tr>
        <w:tc>
          <w:tcPr/>
          <w:bookmarkStart w:id="39" w:name="fig-02"/>
          <w:p>
            <w:pPr>
              <w:pStyle w:val="Figure"/>
              <w:jc w:val="center"/>
            </w:pPr>
            <w:r>
              <w:drawing>
                <wp:inline>
                  <wp:extent cx="5334000" cy="3816653"/>
                  <wp:effectExtent b="0" l="0" r="0" t="0"/>
                  <wp:docPr descr="" title="" id="37" name="Picture"/>
                  <a:graphic>
                    <a:graphicData uri="http://schemas.openxmlformats.org/drawingml/2006/picture">
                      <pic:pic>
                        <pic:nvPicPr>
                          <pic:cNvPr descr="images/png/figure02.png" id="38" name="Picture"/>
                          <pic:cNvPicPr>
                            <a:picLocks noChangeArrowheads="1" noChangeAspect="1"/>
                          </pic:cNvPicPr>
                        </pic:nvPicPr>
                        <pic:blipFill>
                          <a:blip r:embed="rId36"/>
                          <a:stretch>
                            <a:fillRect/>
                          </a:stretch>
                        </pic:blipFill>
                        <pic:spPr bwMode="auto">
                          <a:xfrm>
                            <a:off x="0" y="0"/>
                            <a:ext cx="5334000" cy="38166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Biplot using the third and fourth components on TCGA and METABRIC samples. Colored by cohort.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Hex grid calculated on the biplot of the fourth and third component. Each hex is colored based on its average value of the SET ER/PR signature.</w:t>
            </w:r>
          </w:p>
          <w:bookmarkEnd w:id="39"/>
        </w:tc>
      </w:tr>
    </w:tbl>
    <w:bookmarkEnd w:id="40"/>
    <w:bookmarkStart w:id="45" w:name="X72d4eabaa79479c4c1de9835595e78bbcbc554c"/>
    <w:p>
      <w:pPr>
        <w:pStyle w:val="Heading2"/>
      </w:pPr>
      <w:r>
        <w:t xml:space="preserve">Embedding is robust to missing genes and generalized to a validation cohort</w:t>
      </w:r>
    </w:p>
    <w:p>
      <w:pPr>
        <w:pStyle w:val="FirstParagraph"/>
      </w:pPr>
      <w:r>
        <w:t xml:space="preserve">METABRIC and TCGA were used to train and validate the projections. SCANB was</w:t>
      </w:r>
      <w:r>
        <w:t xml:space="preserve"> </w:t>
      </w:r>
      <w:r>
        <w:t xml:space="preserve">used as an external validation cohort. SCANB is well mixed with both</w:t>
      </w:r>
      <w:r>
        <w:t xml:space="preserve"> </w:t>
      </w:r>
      <w:r>
        <w:t xml:space="preserve">METABRIC and TCGA samples (</w:t>
      </w:r>
      <w:hyperlink w:anchor="fig-03">
        <w:r>
          <w:rPr>
            <w:rStyle w:val="Hyperlink"/>
          </w:rPr>
          <w:t xml:space="preserve">Figure 3</w:t>
        </w:r>
      </w:hyperlink>
      <w:r>
        <w:t xml:space="preserve"> </w:t>
      </w:r>
      <w:r>
        <w:t xml:space="preserve">(a)). ER+ and ER- BC patients are well</w:t>
      </w:r>
      <w:r>
        <w:t xml:space="preserve"> </w:t>
      </w:r>
      <w:r>
        <w:t xml:space="preserve">separated (</w:t>
      </w:r>
      <w:hyperlink w:anchor="fig-03">
        <w:r>
          <w:rPr>
            <w:rStyle w:val="Hyperlink"/>
          </w:rPr>
          <w:t xml:space="preserve">Figure 3</w:t>
        </w:r>
      </w:hyperlink>
      <w:r>
        <w:t xml:space="preserve"> </w:t>
      </w:r>
      <w:r>
        <w:t xml:space="preserve">(b)) and the procedure can also distinguish the</w:t>
      </w:r>
      <w:r>
        <w:t xml:space="preserve"> </w:t>
      </w:r>
      <w:r>
        <w:t xml:space="preserve">molecular subtypes (</w:t>
      </w:r>
      <w:hyperlink w:anchor="fig-03">
        <w:r>
          <w:rPr>
            <w:rStyle w:val="Hyperlink"/>
          </w:rPr>
          <w:t xml:space="preserve">Figure 3</w:t>
        </w:r>
      </w:hyperlink>
      <w:r>
        <w:t xml:space="preserve"> </w:t>
      </w:r>
      <w:r>
        <w:t xml:space="preserve">(c)). As an RNA-seq cohort, it is expected that</w:t>
      </w:r>
      <w:r>
        <w:t xml:space="preserve"> </w:t>
      </w:r>
      <w:r>
        <w:t xml:space="preserve">SCANB samples will be closer to TCGA than to METABRIC when removing batch</w:t>
      </w:r>
      <w:r>
        <w:t xml:space="preserve"> </w:t>
      </w:r>
      <w:r>
        <w:t xml:space="preserve">effects, due to platform biases and initial scale of the genes. Biplot of</w:t>
      </w:r>
      <w:r>
        <w:t xml:space="preserve"> </w:t>
      </w:r>
      <w:r>
        <w:t xml:space="preserve">PC1 and PC2 (</w:t>
      </w:r>
      <w:hyperlink w:anchor="fig-03">
        <w:r>
          <w:rPr>
            <w:rStyle w:val="Hyperlink"/>
          </w:rPr>
          <w:t xml:space="preserve">Figure 3</w:t>
        </w:r>
      </w:hyperlink>
      <w:r>
        <w:t xml:space="preserve"> </w:t>
      </w:r>
      <w:r>
        <w:t xml:space="preserve">(d)) shows that SCANB is closer to TCGA than to METABRIC.</w:t>
      </w:r>
      <w:r>
        <w:t xml:space="preserve"> </w:t>
      </w:r>
      <w:r>
        <w:t xml:space="preserve">It is also in between the two cohorts.</w:t>
      </w:r>
    </w:p>
    <w:p>
      <w:pPr>
        <w:pStyle w:val="BodyText"/>
      </w:pPr>
      <w:r>
        <w:t xml:space="preserve">In order to check the robustness of the procedure, we redid all the</w:t>
      </w:r>
      <w:r>
        <w:t xml:space="preserve"> </w:t>
      </w:r>
      <w:r>
        <w:t xml:space="preserve">pipeline 10 times with 10 random sets of patient samples from TCGA and</w:t>
      </w:r>
      <w:r>
        <w:t xml:space="preserve"> </w:t>
      </w:r>
      <w:r>
        <w:t xml:space="preserve">METABRIC, simulating a cross validation process.</w:t>
      </w:r>
      <w:r>
        <w:t xml:space="preserve"> </w:t>
      </w:r>
      <w:r>
        <w:t xml:space="preserve">The PCA embedding is invariant to rotation, translation and reflection</w:t>
      </w:r>
      <w:r>
        <w:t xml:space="preserve"> </w:t>
      </w:r>
      <w:r>
        <w:t xml:space="preserve">(</w:t>
      </w:r>
      <w:hyperlink w:anchor="fig-03">
        <w:r>
          <w:rPr>
            <w:rStyle w:val="Hyperlink"/>
          </w:rPr>
          <w:t xml:space="preserve">Figure 3</w:t>
        </w:r>
      </w:hyperlink>
      <w:r>
        <w:t xml:space="preserve"> </w:t>
      </w:r>
      <w:r>
        <w:t xml:space="preserve">(e)). Another problem that arises with publicly available</w:t>
      </w:r>
      <w:r>
        <w:t xml:space="preserve"> </w:t>
      </w:r>
      <w:r>
        <w:t xml:space="preserve">datasets, is the fact that there are missing genes. We try to understand</w:t>
      </w:r>
      <w:r>
        <w:t xml:space="preserve"> </w:t>
      </w:r>
      <w:r>
        <w:t xml:space="preserve">the effect of missing genes in the embedding based on their loading values.</w:t>
      </w:r>
      <w:r>
        <w:t xml:space="preserve"> </w:t>
      </w:r>
      <w:r>
        <w:t xml:space="preserve">Ideally if a low amount of genes with high loadings are missing, this should</w:t>
      </w:r>
      <w:r>
        <w:t xml:space="preserve"> </w:t>
      </w:r>
      <w:r>
        <w:t xml:space="preserve">not affect very much the embedding. On the other hand, the more genes missing</w:t>
      </w:r>
      <w:r>
        <w:t xml:space="preserve"> </w:t>
      </w:r>
      <w:r>
        <w:t xml:space="preserve">with high loadings, the more it will impact the embedding. We removed 200</w:t>
      </w:r>
      <w:r>
        <w:t xml:space="preserve"> </w:t>
      </w:r>
      <w:r>
        <w:t xml:space="preserve">genes in total with a varying proportion of top loading genes</w:t>
      </w:r>
      <w:r>
        <w:t xml:space="preserve"> </w:t>
      </w:r>
      <w:r>
        <w:t xml:space="preserve">(ranging from 0 to 100% in a 5% step). The number of top loading genes</w:t>
      </w:r>
      <w:r>
        <w:t xml:space="preserve"> </w:t>
      </w:r>
      <w:r>
        <w:t xml:space="preserve">missing from the dataset is key for the embedding (</w:t>
      </w:r>
      <w:hyperlink w:anchor="fig-03">
        <w:r>
          <w:rPr>
            <w:rStyle w:val="Hyperlink"/>
          </w:rPr>
          <w:t xml:space="preserve">Figure 3</w:t>
        </w:r>
      </w:hyperlink>
      <w:r>
        <w:t xml:space="preserve"> </w:t>
      </w:r>
      <w:r>
        <w:t xml:space="preserve">(f)). The</w:t>
      </w:r>
      <w:r>
        <w:t xml:space="preserve"> </w:t>
      </w:r>
      <w:r>
        <w:t xml:space="preserve">higher the proportion the less precise the embedding is.</w:t>
      </w:r>
    </w:p>
    <w:tbl>
      <w:tblPr>
        <w:tblStyle w:val="Table"/>
        <w:tblW w:type="pct" w:w="5000"/>
        <w:tblLook w:firstRow="0" w:lastRow="0" w:firstColumn="0" w:lastColumn="0" w:noHBand="0" w:noVBand="0" w:val="0000"/>
      </w:tblPr>
      <w:tblGrid>
        <w:gridCol w:w="7920"/>
      </w:tblGrid>
      <w:tr>
        <w:tc>
          <w:tcPr/>
          <w:bookmarkStart w:id="44" w:name="fig-03"/>
          <w:p>
            <w:pPr>
              <w:pStyle w:val="Figure"/>
              <w:jc w:val="center"/>
            </w:pPr>
            <w:r>
              <w:drawing>
                <wp:inline>
                  <wp:extent cx="5334000" cy="5626902"/>
                  <wp:effectExtent b="0" l="0" r="0" t="0"/>
                  <wp:docPr descr="" title="" id="42" name="Picture"/>
                  <a:graphic>
                    <a:graphicData uri="http://schemas.openxmlformats.org/drawingml/2006/picture">
                      <pic:pic>
                        <pic:nvPicPr>
                          <pic:cNvPr descr="images/png/figure03.png" id="43" name="Picture"/>
                          <pic:cNvPicPr>
                            <a:picLocks noChangeArrowheads="1" noChangeAspect="1"/>
                          </pic:cNvPicPr>
                        </pic:nvPicPr>
                        <pic:blipFill>
                          <a:blip r:embed="rId41"/>
                          <a:stretch>
                            <a:fillRect/>
                          </a:stretch>
                        </pic:blipFill>
                        <pic:spPr bwMode="auto">
                          <a:xfrm>
                            <a:off x="0" y="0"/>
                            <a:ext cx="5334000" cy="5626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Validation of the molecular landscape with an external cohort (a) Biplot using the third and fourth components and now including all samples from the three cohorts: TCGA, METABRIC and SCANB.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Biplot using the first and second component of TCGA, METABRIC and SCANB. (e) Embedding of random samples given different training sets for PCA. Blue dots correspond to the original embedding of a sample and red dots correspond to the new embedding given the new training set. (f) Biplot of all possible embeddings of sample given a certain proportion of top loadings missing in the dataset.</w:t>
            </w:r>
          </w:p>
          <w:bookmarkEnd w:id="44"/>
        </w:tc>
      </w:tr>
    </w:tbl>
    <w:bookmarkEnd w:id="45"/>
    <w:bookmarkStart w:id="50" w:name="X8345ded28a5490ffa764d9d159499b30b864357"/>
    <w:p>
      <w:pPr>
        <w:pStyle w:val="Heading2"/>
      </w:pPr>
      <w:r>
        <w:t xml:space="preserve">Molecular landscape is a tool to understand and explore patient heterogeneity</w:t>
      </w:r>
    </w:p>
    <w:p>
      <w:pPr>
        <w:pStyle w:val="FirstParagraph"/>
      </w:pPr>
      <w:r>
        <w:t xml:space="preserve">Since the molecular landscape relies in a single sample embedding, we can</w:t>
      </w:r>
      <w:r>
        <w:t xml:space="preserve"> </w:t>
      </w:r>
      <w:r>
        <w:t xml:space="preserve">add samples from any cohort with relative good data. The POETIC trial</w:t>
      </w:r>
      <w:r>
        <w:t xml:space="preserve"> </w:t>
      </w:r>
      <w:r>
        <w:t xml:space="preserve">(14)</w:t>
      </w:r>
      <w:r>
        <w:t xml:space="preserve"> </w:t>
      </w:r>
      <w:r>
        <w:t xml:space="preserve">was a trial that evaluated the use of perioperative</w:t>
      </w:r>
      <w:r>
        <w:t xml:space="preserve"> </w:t>
      </w:r>
      <w:r>
        <w:t xml:space="preserve">aromatase inhibitors in ER+, postmenopausal BC patients. Its primary</w:t>
      </w:r>
      <w:r>
        <w:t xml:space="preserve"> </w:t>
      </w:r>
      <w:r>
        <w:t xml:space="preserve">endpoint was time to recurrence.</w:t>
      </w:r>
      <w:r>
        <w:t xml:space="preserve"> </w:t>
      </w:r>
      <w:r>
        <w:t xml:space="preserve">They sent for microarray hybridization matched samples from baseline</w:t>
      </w:r>
      <w:r>
        <w:t xml:space="preserve"> </w:t>
      </w:r>
      <w:r>
        <w:t xml:space="preserve">(before treatment) and at surgery (after an average of 14 days of treatment)</w:t>
      </w:r>
      <w:r>
        <w:t xml:space="preserve"> </w:t>
      </w:r>
      <w:r>
        <w:t xml:space="preserve">(4)</w:t>
      </w:r>
      <w:r>
        <w:t xml:space="preserve">. There are also untreated patients, used to control for sample</w:t>
      </w:r>
      <w:r>
        <w:t xml:space="preserve"> </w:t>
      </w:r>
      <w:r>
        <w:t xml:space="preserve">processing artefacts. Moreover, the patients have matched Ki67 percentage levels,</w:t>
      </w:r>
      <w:r>
        <w:t xml:space="preserve"> </w:t>
      </w:r>
      <w:r>
        <w:t xml:space="preserve">which can be considered an indication of how well a patient responded to</w:t>
      </w:r>
      <w:r>
        <w:t xml:space="preserve"> </w:t>
      </w:r>
      <w:r>
        <w:t xml:space="preserve">the endocrine therapy. Patients with more than 5% of baseline Ki67 and a</w:t>
      </w:r>
      <w:r>
        <w:t xml:space="preserve"> </w:t>
      </w:r>
      <w:r>
        <w:t xml:space="preserve">reduction of 60% upon endocrine therapy are considered responders, otherwise</w:t>
      </w:r>
      <w:r>
        <w:t xml:space="preserve"> </w:t>
      </w:r>
      <w:r>
        <w:t xml:space="preserve">they are called non responders.</w:t>
      </w:r>
    </w:p>
    <w:p>
      <w:pPr>
        <w:pStyle w:val="BodyText"/>
      </w:pPr>
      <w:r>
        <w:t xml:space="preserve">The molecular landscape can shed light on the differences between</w:t>
      </w:r>
      <w:r>
        <w:t xml:space="preserve"> </w:t>
      </w:r>
      <w:r>
        <w:t xml:space="preserve">responders and non responders.</w:t>
      </w:r>
      <w:r>
        <w:t xml:space="preserve"> </w:t>
      </w:r>
      <w:r>
        <w:t xml:space="preserve">We embedded the POETIC trial samples using the procedure (</w:t>
      </w:r>
      <w:hyperlink w:anchor="fig-04">
        <w:r>
          <w:rPr>
            <w:rStyle w:val="Hyperlink"/>
          </w:rPr>
          <w:t xml:space="preserve">Figure 4</w:t>
        </w:r>
      </w:hyperlink>
      <w:r>
        <w:t xml:space="preserve"> </w:t>
      </w:r>
      <w:r>
        <w:t xml:space="preserve">(a) left).</w:t>
      </w:r>
      <w:r>
        <w:t xml:space="preserve"> </w:t>
      </w:r>
      <w:r>
        <w:t xml:space="preserve">The samples are spread across the whole molecular landscape, showing that</w:t>
      </w:r>
      <w:r>
        <w:t xml:space="preserve"> </w:t>
      </w:r>
      <w:r>
        <w:t xml:space="preserve">patients indeed have different molecular biological properties. Moreover,</w:t>
      </w:r>
      <w:r>
        <w:t xml:space="preserve"> </w:t>
      </w:r>
      <w:r>
        <w:t xml:space="preserve">given the available information, the patients that are ER+ and in the</w:t>
      </w:r>
      <w:r>
        <w:t xml:space="preserve"> </w:t>
      </w:r>
      <w:r>
        <w:t xml:space="preserve">left part of the landscape (ER- patients), are all non responders</w:t>
      </w:r>
      <w:r>
        <w:t xml:space="preserve"> </w:t>
      </w:r>
      <w:r>
        <w:t xml:space="preserve">(</w:t>
      </w:r>
      <w:hyperlink w:anchor="fig-04">
        <w:r>
          <w:rPr>
            <w:rStyle w:val="Hyperlink"/>
          </w:rPr>
          <w:t xml:space="preserve">Figure 4</w:t>
        </w:r>
      </w:hyperlink>
      <w:r>
        <w:t xml:space="preserve"> </w:t>
      </w:r>
      <w:r>
        <w:t xml:space="preserve">(a) right).</w:t>
      </w:r>
      <w:r>
        <w:t xml:space="preserve"> </w:t>
      </w:r>
      <w:r>
        <w:t xml:space="preserve">This highlights the importance to look more carefully to ER+ patients.</w:t>
      </w:r>
      <w:r>
        <w:t xml:space="preserve"> </w:t>
      </w:r>
      <w:r>
        <w:t xml:space="preserve">We selected two patients, a responder and non responder that are close</w:t>
      </w:r>
      <w:r>
        <w:t xml:space="preserve"> </w:t>
      </w:r>
      <w:r>
        <w:t xml:space="preserve">in the embedding (</w:t>
      </w:r>
      <w:hyperlink w:anchor="fig-04">
        <w:r>
          <w:rPr>
            <w:rStyle w:val="Hyperlink"/>
          </w:rPr>
          <w:t xml:space="preserve">Figure 4</w:t>
        </w:r>
      </w:hyperlink>
      <w:r>
        <w:t xml:space="preserve"> </w:t>
      </w:r>
      <w:r>
        <w:t xml:space="preserve">(b)) to highlight their molecular</w:t>
      </w:r>
      <w:r>
        <w:t xml:space="preserve"> </w:t>
      </w:r>
      <w:r>
        <w:t xml:space="preserve">differences and see what is their context.</w:t>
      </w:r>
      <w:r>
        <w:t xml:space="preserve"> </w:t>
      </w:r>
      <w:hyperlink w:anchor="fig-04">
        <w:r>
          <w:rPr>
            <w:rStyle w:val="Hyperlink"/>
          </w:rPr>
          <w:t xml:space="preserve">Figure 4</w:t>
        </w:r>
      </w:hyperlink>
      <w:r>
        <w:t xml:space="preserve"> </w:t>
      </w:r>
      <w:r>
        <w:t xml:space="preserve">(c) shows the average</w:t>
      </w:r>
      <w:r>
        <w:t xml:space="preserve"> </w:t>
      </w:r>
      <w:r>
        <w:t xml:space="preserve">posterior distribution of the neighborhood for the responder patient. The</w:t>
      </w:r>
      <w:r>
        <w:t xml:space="preserve"> </w:t>
      </w:r>
      <w:r>
        <w:t xml:space="preserve">responder patient has a ER signaling score higher than the average.</w:t>
      </w:r>
      <w:r>
        <w:t xml:space="preserve"> </w:t>
      </w:r>
      <w:r>
        <w:t xml:space="preserve">On the other hand, the non responder has a smaller ER signaling score</w:t>
      </w:r>
      <w:r>
        <w:t xml:space="preserve"> </w:t>
      </w:r>
      <w:r>
        <w:t xml:space="preserve">than the average (</w:t>
      </w:r>
      <w:hyperlink w:anchor="fig-04">
        <w:r>
          <w:rPr>
            <w:rStyle w:val="Hyperlink"/>
          </w:rPr>
          <w:t xml:space="preserve">Figure 4</w:t>
        </w:r>
      </w:hyperlink>
      <w:r>
        <w:t xml:space="preserve"> </w:t>
      </w:r>
      <w:r>
        <w:t xml:space="preserve">(d)) and also a higher androgen signaling</w:t>
      </w:r>
      <w:r>
        <w:t xml:space="preserve"> </w:t>
      </w:r>
      <w:r>
        <w:t xml:space="preserve">score (Androgen response). Other pathways and their average posterior</w:t>
      </w:r>
      <w:r>
        <w:t xml:space="preserve"> </w:t>
      </w:r>
      <w:r>
        <w:t xml:space="preserve">distributions are shown for both patients.</w:t>
      </w:r>
    </w:p>
    <w:tbl>
      <w:tblPr>
        <w:tblStyle w:val="Table"/>
        <w:tblW w:type="pct" w:w="5000"/>
        <w:tblLook w:firstRow="0" w:lastRow="0" w:firstColumn="0" w:lastColumn="0" w:noHBand="0" w:noVBand="0" w:val="0000"/>
      </w:tblPr>
      <w:tblGrid>
        <w:gridCol w:w="7920"/>
      </w:tblGrid>
      <w:tr>
        <w:tc>
          <w:tcPr/>
          <w:bookmarkStart w:id="49" w:name="fig-04"/>
          <w:p>
            <w:pPr>
              <w:pStyle w:val="Figure"/>
              <w:jc w:val="center"/>
            </w:pPr>
            <w:r>
              <w:drawing>
                <wp:inline>
                  <wp:extent cx="5334000" cy="2761522"/>
                  <wp:effectExtent b="0" l="0" r="0" t="0"/>
                  <wp:docPr descr="" title="" id="47" name="Picture"/>
                  <a:graphic>
                    <a:graphicData uri="http://schemas.openxmlformats.org/drawingml/2006/picture">
                      <pic:pic>
                        <pic:nvPicPr>
                          <pic:cNvPr descr="images/png/figure04.png" id="48" name="Picture"/>
                          <pic:cNvPicPr>
                            <a:picLocks noChangeArrowheads="1" noChangeAspect="1"/>
                          </pic:cNvPicPr>
                        </pic:nvPicPr>
                        <pic:blipFill>
                          <a:blip r:embed="rId46"/>
                          <a:stretch>
                            <a:fillRect/>
                          </a:stretch>
                        </pic:blipFill>
                        <pic:spPr bwMode="auto">
                          <a:xfrm>
                            <a:off x="0" y="0"/>
                            <a:ext cx="5334000" cy="27615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Embedding of the POETIC cohort into the molecular landscape and pathway analysis for patient samples. (a) Biplots of the POETIC samples (baseline and surgery) into the molecular landscape. Left plot is colored by ER status and right plot is colored by molecular subtype PAM50 when available. (b) Biplot highlighting two patients with similar embedding and different response status. (c) Posterior distributions of the average scores in the neighborhood of the responder patient. Red line corresponds to the patient score. (d) Posterior distributions of the average scores in the neighborhood of the</w:t>
            </w:r>
            <w:r>
              <w:t xml:space="preserve"> </w:t>
            </w:r>
            <w:r>
              <w:rPr>
                <w:bCs/>
                <w:b/>
              </w:rPr>
              <w:t xml:space="preserve">non</w:t>
            </w:r>
            <w:r>
              <w:t xml:space="preserve">-responder patient. Red line corresponds to the patient score.</w:t>
            </w:r>
          </w:p>
          <w:bookmarkEnd w:id="49"/>
        </w:tc>
      </w:tr>
    </w:tbl>
    <w:bookmarkEnd w:id="50"/>
    <w:bookmarkEnd w:id="51"/>
    <w:bookmarkStart w:id="52" w:name="discussion"/>
    <w:p>
      <w:pPr>
        <w:pStyle w:val="Heading1"/>
      </w:pPr>
      <w:r>
        <w:t xml:space="preserve">Discussion</w:t>
      </w:r>
    </w:p>
    <w:p>
      <w:pPr>
        <w:pStyle w:val="FirstParagraph"/>
      </w:pPr>
      <w:r>
        <w:t xml:space="preserve">Personalized medicine is a key topic in medicine. The goal of better</w:t>
      </w:r>
      <w:r>
        <w:t xml:space="preserve"> </w:t>
      </w:r>
      <w:r>
        <w:t xml:space="preserve">understanding the molecular underpinnings of the diseases leads to a better</w:t>
      </w:r>
      <w:r>
        <w:t xml:space="preserve"> </w:t>
      </w:r>
      <w:r>
        <w:t xml:space="preserve">allocation of treatments and resources in the patient care. We have</w:t>
      </w:r>
      <w:r>
        <w:t xml:space="preserve"> </w:t>
      </w:r>
      <w:r>
        <w:t xml:space="preserve">shown here a possible framework to deal with personalized medicine in</w:t>
      </w:r>
      <w:r>
        <w:t xml:space="preserve"> </w:t>
      </w:r>
      <w:r>
        <w:t xml:space="preserve">breast cancer in general with a focus on ER+ BC patients.</w:t>
      </w:r>
    </w:p>
    <w:p>
      <w:pPr>
        <w:pStyle w:val="BodyText"/>
      </w:pPr>
      <w:r>
        <w:t xml:space="preserve">In general, estrogen receptor status is considered either a dichotomous or</w:t>
      </w:r>
      <w:r>
        <w:t xml:space="preserve"> </w:t>
      </w:r>
      <w:r>
        <w:t xml:space="preserve">trichotomous state</w:t>
      </w:r>
      <w:r>
        <w:t xml:space="preserve"> </w:t>
      </w:r>
      <w:r>
        <w:t xml:space="preserve">(15)</w:t>
      </w:r>
      <w:r>
        <w:t xml:space="preserve">. Breast cancers are classified either in</w:t>
      </w:r>
      <w:r>
        <w:t xml:space="preserve"> </w:t>
      </w:r>
      <w:r>
        <w:t xml:space="preserve">ER+ or ER- based on their protein expression levels and IHC. For those tumors</w:t>
      </w:r>
      <w:r>
        <w:t xml:space="preserve"> </w:t>
      </w:r>
      <w:r>
        <w:t xml:space="preserve">that are ER+, they can be subdivided into low ER positive (1% &lt; IHC% &lt; 10%)</w:t>
      </w:r>
      <w:r>
        <w:t xml:space="preserve"> </w:t>
      </w:r>
      <w:r>
        <w:t xml:space="preserve">and simply ER positive. Those that are into the low ER positive do not</w:t>
      </w:r>
      <w:r>
        <w:t xml:space="preserve"> </w:t>
      </w:r>
      <w:r>
        <w:t xml:space="preserve">usually benefit as much on endocrine therapy. Here we show using cox</w:t>
      </w:r>
      <w:r>
        <w:t xml:space="preserve"> </w:t>
      </w:r>
      <w:r>
        <w:t xml:space="preserve">regression and multiple</w:t>
      </w:r>
      <w:r>
        <w:t xml:space="preserve"> </w:t>
      </w:r>
      <w:r>
        <w:t xml:space="preserve">big study cohorts</w:t>
      </w:r>
      <w:r>
        <w:t xml:space="preserve"> </w:t>
      </w:r>
      <w:r>
        <w:t xml:space="preserve">(1–3)</w:t>
      </w:r>
      <w:r>
        <w:t xml:space="preserve"> </w:t>
      </w:r>
      <w:r>
        <w:t xml:space="preserve">with both RNA-seq and microarray data, that ER status is more of a continuous</w:t>
      </w:r>
      <w:r>
        <w:t xml:space="preserve"> </w:t>
      </w:r>
      <w:r>
        <w:t xml:space="preserve">rather than a categorical state. This can aid in treatment decision</w:t>
      </w:r>
      <w:r>
        <w:t xml:space="preserve"> </w:t>
      </w:r>
      <w:r>
        <w:t xml:space="preserve">when evaluating the breast cancer. Several gene signatures already are being</w:t>
      </w:r>
      <w:r>
        <w:t xml:space="preserve"> </w:t>
      </w:r>
      <w:r>
        <w:t xml:space="preserve">used, such as OncotypeDX, Mammaprint and Prosigna to assign chemotherapy</w:t>
      </w:r>
      <w:r>
        <w:t xml:space="preserve"> </w:t>
      </w:r>
      <w:r>
        <w:t xml:space="preserve">for those patients with higher risk of recurrence</w:t>
      </w:r>
      <w:r>
        <w:t xml:space="preserve"> </w:t>
      </w:r>
      <w:r>
        <w:t xml:space="preserve">(16–18)</w:t>
      </w:r>
      <w:r>
        <w:t xml:space="preserve">. This score might be</w:t>
      </w:r>
      <w:r>
        <w:t xml:space="preserve"> </w:t>
      </w:r>
      <w:r>
        <w:t xml:space="preserve">associated with the commercial signatures, as it has been shown that</w:t>
      </w:r>
      <w:r>
        <w:t xml:space="preserve"> </w:t>
      </w:r>
      <w:r>
        <w:t xml:space="preserve">OncotypeDX’s estrogen module is highly correlated with the signature</w:t>
      </w:r>
      <w:r>
        <w:t xml:space="preserve"> </w:t>
      </w:r>
      <w:r>
        <w:t xml:space="preserve">itself</w:t>
      </w:r>
      <w:r>
        <w:t xml:space="preserve"> </w:t>
      </w:r>
      <w:r>
        <w:t xml:space="preserve">(19)</w:t>
      </w:r>
      <w:r>
        <w:t xml:space="preserve">.</w:t>
      </w:r>
    </w:p>
    <w:p>
      <w:pPr>
        <w:pStyle w:val="BodyText"/>
      </w:pPr>
      <w:r>
        <w:t xml:space="preserve">Integrating molecular data steaming from different sources is a</w:t>
      </w:r>
      <w:r>
        <w:t xml:space="preserve"> </w:t>
      </w:r>
      <w:r>
        <w:t xml:space="preserve">challenge. On one hand batch effect tools are usually</w:t>
      </w:r>
      <w:r>
        <w:t xml:space="preserve"> </w:t>
      </w:r>
      <w:r>
        <w:t xml:space="preserve">able to remove the batch effects across the different sources of</w:t>
      </w:r>
      <w:r>
        <w:t xml:space="preserve"> </w:t>
      </w:r>
      <w:r>
        <w:t xml:space="preserve">variability</w:t>
      </w:r>
      <w:r>
        <w:t xml:space="preserve"> </w:t>
      </w:r>
      <w:r>
        <w:t xml:space="preserve">(20,21)</w:t>
      </w:r>
      <w:r>
        <w:t xml:space="preserve">, on the other hand they are not</w:t>
      </w:r>
      <w:r>
        <w:t xml:space="preserve"> </w:t>
      </w:r>
      <w:r>
        <w:t xml:space="preserve">single sample based, meaning each time a new sample comes the algorithm runs.</w:t>
      </w:r>
      <w:r>
        <w:t xml:space="preserve"> </w:t>
      </w:r>
      <w:r>
        <w:t xml:space="preserve">It is also based on the fact one has enough data in the different datasets,</w:t>
      </w:r>
      <w:r>
        <w:t xml:space="preserve"> </w:t>
      </w:r>
      <w:r>
        <w:t xml:space="preserve">otherwise it skews the possible integration towards one of the datasets.</w:t>
      </w:r>
      <w:r>
        <w:t xml:space="preserve"> </w:t>
      </w:r>
      <w:r>
        <w:t xml:space="preserve">Here we show by using TCGA, METABRIC and SCANB that it is</w:t>
      </w:r>
      <w:r>
        <w:t xml:space="preserve"> </w:t>
      </w:r>
      <w:r>
        <w:t xml:space="preserve">possible to integrate the samples from these cohorts in a single sample</w:t>
      </w:r>
      <w:r>
        <w:t xml:space="preserve"> </w:t>
      </w:r>
      <w:r>
        <w:t xml:space="preserve">manner. The samples show good mixing when using test samples not seen during</w:t>
      </w:r>
      <w:r>
        <w:t xml:space="preserve"> </w:t>
      </w:r>
      <w:r>
        <w:t xml:space="preserve">the training stage. The embeddings preserve key molecular features of</w:t>
      </w:r>
      <w:r>
        <w:t xml:space="preserve"> </w:t>
      </w:r>
      <w:r>
        <w:t xml:space="preserve">breast cancer. PC3 is clearly driven by estrogen signaling where from</w:t>
      </w:r>
      <w:r>
        <w:t xml:space="preserve"> </w:t>
      </w:r>
      <w:r>
        <w:t xml:space="preserve">right to left there is a gradient of ER positivity. On the other hand,</w:t>
      </w:r>
      <w:r>
        <w:t xml:space="preserve"> </w:t>
      </w:r>
      <w:r>
        <w:t xml:space="preserve">PC4 is what makes a difference between the molecular subtypes</w:t>
      </w:r>
      <w:r>
        <w:t xml:space="preserve"> </w:t>
      </w:r>
      <w:r>
        <w:t xml:space="preserve">luminal A and B, which in practice differ by proliferation status in terms</w:t>
      </w:r>
      <w:r>
        <w:t xml:space="preserve"> </w:t>
      </w:r>
      <w:r>
        <w:t xml:space="preserve">of Ki67 levels</w:t>
      </w:r>
      <w:r>
        <w:t xml:space="preserve"> </w:t>
      </w:r>
      <w:r>
        <w:t xml:space="preserve">(22)</w:t>
      </w:r>
      <w:r>
        <w:t xml:space="preserve">.</w:t>
      </w:r>
    </w:p>
    <w:p>
      <w:pPr>
        <w:pStyle w:val="BodyText"/>
      </w:pPr>
      <w:r>
        <w:t xml:space="preserve">Moreover, the embeddings in a validation set</w:t>
      </w:r>
      <w:r>
        <w:t xml:space="preserve"> </w:t>
      </w:r>
      <w:r>
        <w:t xml:space="preserve">preserve the key features of breast cancer.</w:t>
      </w:r>
      <w:r>
        <w:t xml:space="preserve"> </w:t>
      </w:r>
      <w:r>
        <w:t xml:space="preserve">Samples are projected by their different PAM50 molecular subtypes and</w:t>
      </w:r>
      <w:r>
        <w:t xml:space="preserve"> </w:t>
      </w:r>
      <w:r>
        <w:t xml:space="preserve">there is a gradient of estrogen signaling pathway from ER+ BC</w:t>
      </w:r>
      <w:r>
        <w:t xml:space="preserve"> </w:t>
      </w:r>
      <w:r>
        <w:t xml:space="preserve">towards ER- BC patients. The first two components are the batch effect</w:t>
      </w:r>
      <w:r>
        <w:t xml:space="preserve"> </w:t>
      </w:r>
      <w:r>
        <w:t xml:space="preserve">removal components and SCANB is projected closer to TCGA, since both</w:t>
      </w:r>
      <w:r>
        <w:t xml:space="preserve"> </w:t>
      </w:r>
      <w:r>
        <w:t xml:space="preserve">datasets are RNA-seq. On the other hand, part of the POETIC trial was sequenced</w:t>
      </w:r>
      <w:r>
        <w:t xml:space="preserve"> </w:t>
      </w:r>
      <w:r>
        <w:t xml:space="preserve">using microarray dataset</w:t>
      </w:r>
      <w:r>
        <w:t xml:space="preserve"> </w:t>
      </w:r>
      <w:r>
        <w:t xml:space="preserve">(4,14)</w:t>
      </w:r>
      <w:r>
        <w:t xml:space="preserve">,</w:t>
      </w:r>
      <w:r>
        <w:t xml:space="preserve"> </w:t>
      </w:r>
      <w:r>
        <w:t xml:space="preserve">and we show that it is projected closer to METABRIC as expected</w:t>
      </w:r>
      <w:r>
        <w:t xml:space="preserve"> </w:t>
      </w:r>
      <w:r>
        <w:t xml:space="preserve">according to the first two components.</w:t>
      </w:r>
      <w:r>
        <w:t xml:space="preserve"> </w:t>
      </w:r>
      <w:r>
        <w:t xml:space="preserve">We also show that the embedding is independent</w:t>
      </w:r>
      <w:r>
        <w:t xml:space="preserve"> </w:t>
      </w:r>
      <w:r>
        <w:t xml:space="preserve">of the training set and that when changing the training set the embedding</w:t>
      </w:r>
      <w:r>
        <w:t xml:space="preserve"> </w:t>
      </w:r>
      <w:r>
        <w:t xml:space="preserve">is only rotated or translated, thus not affecting the global</w:t>
      </w:r>
      <w:r>
        <w:t xml:space="preserve"> </w:t>
      </w:r>
      <w:r>
        <w:t xml:space="preserve">structure of the projection.</w:t>
      </w:r>
    </w:p>
    <w:p>
      <w:pPr>
        <w:pStyle w:val="BodyText"/>
      </w:pPr>
      <w:r>
        <w:t xml:space="preserve">Sometimes when dealing with publicly available datasets, not all of the</w:t>
      </w:r>
      <w:r>
        <w:t xml:space="preserve"> </w:t>
      </w:r>
      <w:r>
        <w:t xml:space="preserve">genes are available due to ethical</w:t>
      </w:r>
      <w:r>
        <w:t xml:space="preserve"> </w:t>
      </w:r>
      <w:r>
        <w:t xml:space="preserve">(2)</w:t>
      </w:r>
      <w:r>
        <w:t xml:space="preserve">, pre-processing or</w:t>
      </w:r>
      <w:r>
        <w:t xml:space="preserve"> </w:t>
      </w:r>
      <w:r>
        <w:t xml:space="preserve">technological reasons. Therefore we showed how robust the projection is to</w:t>
      </w:r>
      <w:r>
        <w:t xml:space="preserve"> </w:t>
      </w:r>
      <w:r>
        <w:t xml:space="preserve">missing genes with high loadings in the projection. If less than 20% of the</w:t>
      </w:r>
      <w:r>
        <w:t xml:space="preserve"> </w:t>
      </w:r>
      <w:r>
        <w:t xml:space="preserve">genes we can recover almost surely the position of the embedding if all the</w:t>
      </w:r>
      <w:r>
        <w:t xml:space="preserve"> </w:t>
      </w:r>
      <w:r>
        <w:t xml:space="preserve">genes are available. The more genes that are missing, the closer the</w:t>
      </w:r>
      <w:r>
        <w:t xml:space="preserve"> </w:t>
      </w:r>
      <w:r>
        <w:t xml:space="preserve">projection will be to the origin, i.e., the (0,0) coordinate in the plane.</w:t>
      </w:r>
    </w:p>
    <w:p>
      <w:pPr>
        <w:pStyle w:val="BodyText"/>
      </w:pPr>
      <w:r>
        <w:t xml:space="preserve">To show the clinical validity of the projection, we used a subset</w:t>
      </w:r>
      <w:r>
        <w:t xml:space="preserve"> </w:t>
      </w:r>
      <w:r>
        <w:t xml:space="preserve">of patients from the POETIC trial with microarray and clinical information</w:t>
      </w:r>
      <w:r>
        <w:t xml:space="preserve"> </w:t>
      </w:r>
      <w:r>
        <w:t xml:space="preserve">(4)</w:t>
      </w:r>
      <w:r>
        <w:t xml:space="preserve">. The samples are projected as expected and surprisingly the</w:t>
      </w:r>
      <w:r>
        <w:t xml:space="preserve"> </w:t>
      </w:r>
      <w:r>
        <w:t xml:space="preserve">samples that are considered to be non responders upon 2 weeks of</w:t>
      </w:r>
      <w:r>
        <w:t xml:space="preserve"> </w:t>
      </w:r>
      <w:r>
        <w:t xml:space="preserve">aromatase inhibition are projected among the ER- BC patients. When</w:t>
      </w:r>
      <w:r>
        <w:t xml:space="preserve"> </w:t>
      </w:r>
      <w:r>
        <w:t xml:space="preserve">looking further upon two different patients that have similar embedding</w:t>
      </w:r>
      <w:r>
        <w:t xml:space="preserve"> </w:t>
      </w:r>
      <w:r>
        <w:t xml:space="preserve">but different response to endocrine therapy, we see that the responder</w:t>
      </w:r>
      <w:r>
        <w:t xml:space="preserve"> </w:t>
      </w:r>
      <w:r>
        <w:t xml:space="preserve">has a higher value of estrogen signaling than the average. On the other hand,</w:t>
      </w:r>
      <w:r>
        <w:t xml:space="preserve"> </w:t>
      </w:r>
      <w:r>
        <w:t xml:space="preserve">the non responder patient has a smaller estrogen signaling score than</w:t>
      </w:r>
      <w:r>
        <w:t xml:space="preserve"> </w:t>
      </w:r>
      <w:r>
        <w:t xml:space="preserve">the average, which suggests a possible explanation for the difference in</w:t>
      </w:r>
      <w:r>
        <w:t xml:space="preserve"> </w:t>
      </w:r>
      <w:r>
        <w:t xml:space="preserve">response. Moreover, estrogen and androgen receptor signaling have been show</w:t>
      </w:r>
      <w:r>
        <w:t xml:space="preserve"> </w:t>
      </w:r>
      <w:r>
        <w:t xml:space="preserve">to be tightly linked</w:t>
      </w:r>
      <w:r>
        <w:t xml:space="preserve"> </w:t>
      </w:r>
      <w:r>
        <w:t xml:space="preserve">(23)</w:t>
      </w:r>
      <w:r>
        <w:t xml:space="preserve"> </w:t>
      </w:r>
      <w:r>
        <w:t xml:space="preserve">and these two patients have different</w:t>
      </w:r>
      <w:r>
        <w:t xml:space="preserve"> </w:t>
      </w:r>
      <w:r>
        <w:t xml:space="preserve">androgen signaling scores. The non responder has a higher score than</w:t>
      </w:r>
      <w:r>
        <w:t xml:space="preserve"> </w:t>
      </w:r>
      <w:r>
        <w:t xml:space="preserve">the average compared to the responder, whose score is just the same as the</w:t>
      </w:r>
      <w:r>
        <w:t xml:space="preserve"> </w:t>
      </w:r>
      <w:r>
        <w:t xml:space="preserve">average.</w:t>
      </w:r>
    </w:p>
    <w:p>
      <w:pPr>
        <w:pStyle w:val="BodyText"/>
      </w:pPr>
      <w:r>
        <w:t xml:space="preserve">Some weaknesses of the proposed method is that we rely on GSVA scores,</w:t>
      </w:r>
      <w:r>
        <w:t xml:space="preserve"> </w:t>
      </w:r>
      <w:r>
        <w:t xml:space="preserve">which can be used and compared across different cohorts since they have</w:t>
      </w:r>
      <w:r>
        <w:t xml:space="preserve"> </w:t>
      </w:r>
      <w:r>
        <w:t xml:space="preserve">a representation of all molecular subtypes. A possible way to circumvent</w:t>
      </w:r>
      <w:r>
        <w:t xml:space="preserve"> </w:t>
      </w:r>
      <w:r>
        <w:t xml:space="preserve">this problem is by using singscore or stingscore</w:t>
      </w:r>
      <w:r>
        <w:t xml:space="preserve"> </w:t>
      </w:r>
      <w:r>
        <w:t xml:space="preserve">(6,24)</w:t>
      </w:r>
      <w:r>
        <w:t xml:space="preserve">,</w:t>
      </w:r>
      <w:r>
        <w:t xml:space="preserve"> </w:t>
      </w:r>
      <w:r>
        <w:t xml:space="preserve">a single sample pathway scorer. There is still a cost barrier for using</w:t>
      </w:r>
      <w:r>
        <w:t xml:space="preserve"> </w:t>
      </w:r>
      <w:r>
        <w:t xml:space="preserve">RNA-seq dataset in the clinical setting, but efforts are being made to</w:t>
      </w:r>
      <w:r>
        <w:t xml:space="preserve"> </w:t>
      </w:r>
      <w:r>
        <w:t xml:space="preserve">reduce costs by using shallow sequencing of multiple samples at the</w:t>
      </w:r>
      <w:r>
        <w:t xml:space="preserve"> </w:t>
      </w:r>
      <w:r>
        <w:t xml:space="preserve">same time, such as done by Alithea Genomics.</w:t>
      </w:r>
    </w:p>
    <w:p>
      <w:pPr>
        <w:pStyle w:val="BodyText"/>
      </w:pPr>
      <w:r>
        <w:t xml:space="preserve">In conclusion we provide some evidence that ER status should be considered</w:t>
      </w:r>
      <w:r>
        <w:t xml:space="preserve"> </w:t>
      </w:r>
      <w:r>
        <w:t xml:space="preserve">a continuous marker rather than a categorical one. We also extend this notion</w:t>
      </w:r>
      <w:r>
        <w:t xml:space="preserve"> </w:t>
      </w:r>
      <w:r>
        <w:t xml:space="preserve">to a framework for personalized medicine, where each patient is embedded in</w:t>
      </w:r>
      <w:r>
        <w:t xml:space="preserve"> </w:t>
      </w:r>
      <w:r>
        <w:t xml:space="preserve">some context that can be used for the interpretation of its molecular</w:t>
      </w:r>
      <w:r>
        <w:t xml:space="preserve"> </w:t>
      </w:r>
      <w:r>
        <w:t xml:space="preserve">underpinnings. In this paper we only discussed some pathways, but when</w:t>
      </w:r>
      <w:r>
        <w:t xml:space="preserve"> </w:t>
      </w:r>
      <w:r>
        <w:t xml:space="preserve">analysing patient data, several pathways can be considered and should be</w:t>
      </w:r>
      <w:r>
        <w:t xml:space="preserve"> </w:t>
      </w:r>
      <w:r>
        <w:t xml:space="preserve">taken into account when deciding tumor treatment.</w:t>
      </w:r>
    </w:p>
    <w:bookmarkEnd w:id="52"/>
    <w:bookmarkStart w:id="101" w:name="references"/>
    <w:p>
      <w:pPr>
        <w:pStyle w:val="Heading1"/>
      </w:pPr>
      <w:r>
        <w:t xml:space="preserve">References</w:t>
      </w:r>
    </w:p>
    <w:bookmarkStart w:id="100" w:name="refs"/>
    <w:bookmarkStart w:id="54" w:name="ref-tcgabrca"/>
    <w:p>
      <w:pPr>
        <w:pStyle w:val="Bibliography"/>
      </w:pPr>
      <w:r>
        <w:t xml:space="preserve">1.</w:t>
      </w:r>
      <w:r>
        <w:t xml:space="preserve"> </w:t>
      </w:r>
      <w:r>
        <w:t xml:space="preserve">	</w:t>
      </w:r>
      <w:r>
        <w:t xml:space="preserve">Comprehensive molecular portraits of human breast tumours. Nature [Internet]. Springer Science; Business Media</w:t>
      </w:r>
      <w:r>
        <w:t xml:space="preserve"> </w:t>
      </w:r>
      <w:r>
        <w:t xml:space="preserve">LLC</w:t>
      </w:r>
      <w:r>
        <w:t xml:space="preserve">; 2012;490:61–70. Available from:</w:t>
      </w:r>
      <w:r>
        <w:t xml:space="preserve"> </w:t>
      </w:r>
      <w:hyperlink r:id="rId53">
        <w:r>
          <w:rPr>
            <w:rStyle w:val="Hyperlink"/>
          </w:rPr>
          <w:t xml:space="preserve">https://doi.org/10.1038/nature11412</w:t>
        </w:r>
      </w:hyperlink>
    </w:p>
    <w:bookmarkEnd w:id="54"/>
    <w:bookmarkStart w:id="56" w:name="ref-Saal2015"/>
    <w:p>
      <w:pPr>
        <w:pStyle w:val="Bibliography"/>
      </w:pPr>
      <w:r>
        <w:t xml:space="preserve">2.</w:t>
      </w:r>
      <w:r>
        <w:t xml:space="preserve"> </w:t>
      </w:r>
      <w:r>
        <w:t xml:space="preserve">	</w:t>
      </w:r>
      <w:r>
        <w:t xml:space="preserve">Saal LH, Vallon-Christersson J, Häkkinen J, Hegardt C, Grabau D, Winter C, et al. The sweden cancerome analysis network - breast (</w:t>
      </w:r>
      <w:r>
        <w:t xml:space="preserve">SCAN</w:t>
      </w:r>
      <w:r>
        <w:t xml:space="preserve">-b) initiative: A large-scale multicenter infrastructure towards implementation of breast cancer genomic analyses in the clinical routine. Genome Medicine [Internet]. Springer Science; Business Media</w:t>
      </w:r>
      <w:r>
        <w:t xml:space="preserve"> </w:t>
      </w:r>
      <w:r>
        <w:t xml:space="preserve">LLC</w:t>
      </w:r>
      <w:r>
        <w:t xml:space="preserve">; 2015;7:20. Available from:</w:t>
      </w:r>
      <w:r>
        <w:t xml:space="preserve"> </w:t>
      </w:r>
      <w:hyperlink r:id="rId55">
        <w:r>
          <w:rPr>
            <w:rStyle w:val="Hyperlink"/>
          </w:rPr>
          <w:t xml:space="preserve">https://doi.org/10.1186/s13073-015-0131-9</w:t>
        </w:r>
      </w:hyperlink>
    </w:p>
    <w:bookmarkEnd w:id="56"/>
    <w:bookmarkStart w:id="58" w:name="ref-Curtis2012"/>
    <w:p>
      <w:pPr>
        <w:pStyle w:val="Bibliography"/>
      </w:pPr>
      <w:r>
        <w:t xml:space="preserve">3.</w:t>
      </w:r>
      <w:r>
        <w:t xml:space="preserve"> </w:t>
      </w:r>
      <w:r>
        <w:t xml:space="preserve">	</w:t>
      </w:r>
      <w:r>
        <w:t xml:space="preserve">Curtis C, Sohrab P. Shah and, Chin S-F, Turashvili G, Rueda OM, Dunning MJ, et al. The genomic and transcriptomic architecture of 2, 000 breast tumours reveals novel subgroups. Nature [Internet]. Springer Science; Business Media</w:t>
      </w:r>
      <w:r>
        <w:t xml:space="preserve"> </w:t>
      </w:r>
      <w:r>
        <w:t xml:space="preserve">LLC</w:t>
      </w:r>
      <w:r>
        <w:t xml:space="preserve">; 2012;486:346–52. Available from:</w:t>
      </w:r>
      <w:r>
        <w:t xml:space="preserve"> </w:t>
      </w:r>
      <w:hyperlink r:id="rId57">
        <w:r>
          <w:rPr>
            <w:rStyle w:val="Hyperlink"/>
          </w:rPr>
          <w:t xml:space="preserve">https://doi.org/10.1038/nature10983</w:t>
        </w:r>
      </w:hyperlink>
    </w:p>
    <w:bookmarkEnd w:id="58"/>
    <w:bookmarkStart w:id="60" w:name="ref-Gao2019"/>
    <w:p>
      <w:pPr>
        <w:pStyle w:val="Bibliography"/>
      </w:pPr>
      <w:r>
        <w:t xml:space="preserve">4.</w:t>
      </w:r>
      <w:r>
        <w:t xml:space="preserve"> </w:t>
      </w:r>
      <w:r>
        <w:t xml:space="preserve">	</w:t>
      </w:r>
      <w:r>
        <w:t xml:space="preserve">Gao Q, Elena López-Knowles and, Cheang MCU, Morden J, Ribas R, Sidhu K, et al. Impact of aromatase inhibitor treatment on global gene expression and its association with antiproliferative response in</w:t>
      </w:r>
      <w:r>
        <w:t xml:space="preserve"> </w:t>
      </w:r>
      <w:r>
        <w:t xml:space="preserve">ER</w:t>
      </w:r>
      <w:r>
        <w:t xml:space="preserve">$\mathplus$</w:t>
      </w:r>
      <w:r>
        <w:t xml:space="preserve"> </w:t>
      </w:r>
      <w:r>
        <w:t xml:space="preserve">breast cancer in postmenopausal patients. Breast Cancer Research [Internet]. Springer Science; Business Media</w:t>
      </w:r>
      <w:r>
        <w:t xml:space="preserve"> </w:t>
      </w:r>
      <w:r>
        <w:t xml:space="preserve">LLC</w:t>
      </w:r>
      <w:r>
        <w:t xml:space="preserve">; 2019;22. Available from:</w:t>
      </w:r>
      <w:r>
        <w:t xml:space="preserve"> </w:t>
      </w:r>
      <w:hyperlink r:id="rId59">
        <w:r>
          <w:rPr>
            <w:rStyle w:val="Hyperlink"/>
          </w:rPr>
          <w:t xml:space="preserve">https://doi.org/10.1186/s13058-019-1223-z</w:t>
        </w:r>
      </w:hyperlink>
    </w:p>
    <w:bookmarkEnd w:id="60"/>
    <w:bookmarkStart w:id="61" w:name="ref-geoquery"/>
    <w:p>
      <w:pPr>
        <w:pStyle w:val="Bibliography"/>
      </w:pPr>
      <w:r>
        <w:t xml:space="preserve">5.</w:t>
      </w:r>
      <w:r>
        <w:t xml:space="preserve"> </w:t>
      </w:r>
      <w:r>
        <w:t xml:space="preserve">	</w:t>
      </w:r>
      <w:r>
        <w:t xml:space="preserve">Davis S, Meltzer P. GEOquery: A bridge between the gene expression omnibus (GEO) and BioConductor. Bioinformatics. 2007;14:1846–7.</w:t>
      </w:r>
      <w:r>
        <w:t xml:space="preserve"> </w:t>
      </w:r>
    </w:p>
    <w:bookmarkEnd w:id="61"/>
    <w:bookmarkStart w:id="63" w:name="ref-Bhuva2020"/>
    <w:p>
      <w:pPr>
        <w:pStyle w:val="Bibliography"/>
      </w:pPr>
      <w:r>
        <w:t xml:space="preserve">6.</w:t>
      </w:r>
      <w:r>
        <w:t xml:space="preserve"> </w:t>
      </w:r>
      <w:r>
        <w:t xml:space="preserve">	</w:t>
      </w:r>
      <w:r>
        <w:t xml:space="preserve">Bhuva DD, Cursons J, Davis MJ. Stable gene expression for normalisation and single-sample scoring. Nucleic Acids Research [Internet]. Oxford University Press (</w:t>
      </w:r>
      <w:r>
        <w:t xml:space="preserve">OUP</w:t>
      </w:r>
      <w:r>
        <w:t xml:space="preserve">); 2020;48:e113–3. Available from:</w:t>
      </w:r>
      <w:r>
        <w:t xml:space="preserve"> </w:t>
      </w:r>
      <w:hyperlink r:id="rId62">
        <w:r>
          <w:rPr>
            <w:rStyle w:val="Hyperlink"/>
          </w:rPr>
          <w:t xml:space="preserve">https://doi.org/10.1093/nar/gkaa802</w:t>
        </w:r>
      </w:hyperlink>
    </w:p>
    <w:bookmarkEnd w:id="63"/>
    <w:bookmarkStart w:id="65" w:name="ref-Blighe2022"/>
    <w:p>
      <w:pPr>
        <w:pStyle w:val="Bibliography"/>
      </w:pPr>
      <w:r>
        <w:t xml:space="preserve">7.</w:t>
      </w:r>
      <w:r>
        <w:t xml:space="preserve"> </w:t>
      </w:r>
      <w:r>
        <w:t xml:space="preserve">	</w:t>
      </w:r>
      <w:r>
        <w:t xml:space="preserve">Blighe K, Lun A. PCAtools: PCAtools: Everything principal components analysis [Internet]. 2022. Available from:</w:t>
      </w:r>
      <w:r>
        <w:t xml:space="preserve"> </w:t>
      </w:r>
      <w:hyperlink r:id="rId64">
        <w:r>
          <w:rPr>
            <w:rStyle w:val="Hyperlink"/>
          </w:rPr>
          <w:t xml:space="preserve">https://github.com/kevinblighe/PCAtools</w:t>
        </w:r>
      </w:hyperlink>
    </w:p>
    <w:bookmarkEnd w:id="65"/>
    <w:bookmarkStart w:id="67" w:name="ref-Hnzelmann2013"/>
    <w:p>
      <w:pPr>
        <w:pStyle w:val="Bibliography"/>
      </w:pPr>
      <w:r>
        <w:t xml:space="preserve">8.</w:t>
      </w:r>
      <w:r>
        <w:t xml:space="preserve"> </w:t>
      </w:r>
      <w:r>
        <w:t xml:space="preserve">	</w:t>
      </w:r>
      <w:r>
        <w:t xml:space="preserve">Hänzelmann S, Castelo R, Guinney J.</w:t>
      </w:r>
      <w:r>
        <w:t xml:space="preserve"> </w:t>
      </w:r>
      <w:r>
        <w:t xml:space="preserve">GSVA</w:t>
      </w:r>
      <w:r>
        <w:t xml:space="preserve">: Gene set variation analysis for microarray and</w:t>
      </w:r>
      <w:r>
        <w:t xml:space="preserve"> </w:t>
      </w:r>
      <w:r>
        <w:t xml:space="preserve">RNA</w:t>
      </w:r>
      <w:r>
        <w:t xml:space="preserve">-seq data.</w:t>
      </w:r>
      <w:r>
        <w:t xml:space="preserve"> </w:t>
      </w:r>
      <w:r>
        <w:t xml:space="preserve">BMC</w:t>
      </w:r>
      <w:r>
        <w:t xml:space="preserve"> </w:t>
      </w:r>
      <w:r>
        <w:t xml:space="preserve">Bioinformatics [Internet]. Springer Science; Business Media</w:t>
      </w:r>
      <w:r>
        <w:t xml:space="preserve"> </w:t>
      </w:r>
      <w:r>
        <w:t xml:space="preserve">LLC</w:t>
      </w:r>
      <w:r>
        <w:t xml:space="preserve">; 2013;14. Available from:</w:t>
      </w:r>
      <w:r>
        <w:t xml:space="preserve"> </w:t>
      </w:r>
      <w:hyperlink r:id="rId66">
        <w:r>
          <w:rPr>
            <w:rStyle w:val="Hyperlink"/>
          </w:rPr>
          <w:t xml:space="preserve">https://doi.org/10.1186/1471-2105-14-7</w:t>
        </w:r>
      </w:hyperlink>
    </w:p>
    <w:bookmarkEnd w:id="67"/>
    <w:bookmarkStart w:id="69" w:name="ref-Sinn2019"/>
    <w:p>
      <w:pPr>
        <w:pStyle w:val="Bibliography"/>
      </w:pPr>
      <w:r>
        <w:t xml:space="preserve">9.</w:t>
      </w:r>
      <w:r>
        <w:t xml:space="preserve"> </w:t>
      </w:r>
      <w:r>
        <w:t xml:space="preserve">	</w:t>
      </w:r>
      <w:r>
        <w:t xml:space="preserve">Sinn BV, Fu C, Lau R, Litton J, Tsai T-H, Murthy R, et al.</w:t>
      </w:r>
      <w:r>
        <w:t xml:space="preserve"> </w:t>
      </w:r>
      <w:r>
        <w:t xml:space="preserve">SETER</w:t>
      </w:r>
      <w:r>
        <w:t xml:space="preserve">/</w:t>
      </w:r>
      <w:r>
        <w:t xml:space="preserve">PR</w:t>
      </w:r>
      <w:r>
        <w:t xml:space="preserve">: A robust 18-gene predictor for sensitivity to endocrine therapy for metastatic breast cancer. npj Breast Cancer [Internet]. Springer Science; Business Media</w:t>
      </w:r>
      <w:r>
        <w:t xml:space="preserve"> </w:t>
      </w:r>
      <w:r>
        <w:t xml:space="preserve">LLC</w:t>
      </w:r>
      <w:r>
        <w:t xml:space="preserve">; 2019;5. Available from:</w:t>
      </w:r>
      <w:r>
        <w:t xml:space="preserve"> </w:t>
      </w:r>
      <w:hyperlink r:id="rId68">
        <w:r>
          <w:rPr>
            <w:rStyle w:val="Hyperlink"/>
          </w:rPr>
          <w:t xml:space="preserve">https://doi.org/10.1038/s41523-019-0111-0</w:t>
        </w:r>
      </w:hyperlink>
    </w:p>
    <w:bookmarkEnd w:id="69"/>
    <w:bookmarkStart w:id="71" w:name="ref-Subramanian2005"/>
    <w:p>
      <w:pPr>
        <w:pStyle w:val="Bibliography"/>
      </w:pPr>
      <w:r>
        <w:t xml:space="preserve">10.</w:t>
      </w:r>
      <w:r>
        <w:t xml:space="preserve"> </w:t>
      </w:r>
      <w:r>
        <w:t xml:space="preserve">	</w:t>
      </w:r>
      <w:r>
        <w:t xml:space="preserve">Subramanian A, Tamayo P, Mootha VK, Mukherjee S, Ebert BL, Gillette MA, et al. Gene set enrichment analysis: A knowledge-based approach for interpreting genome-wide expression profiles. Proceedings of the National Academy of Sciences [Internet]. Proceedings of the National Academy of Sciences; 2005;102:15545–50. Available from:</w:t>
      </w:r>
      <w:r>
        <w:t xml:space="preserve"> </w:t>
      </w:r>
      <w:hyperlink r:id="rId70">
        <w:r>
          <w:rPr>
            <w:rStyle w:val="Hyperlink"/>
          </w:rPr>
          <w:t xml:space="preserve">https://doi.org/10.1073/pnas.0506580102</w:t>
        </w:r>
      </w:hyperlink>
    </w:p>
    <w:bookmarkEnd w:id="71"/>
    <w:bookmarkStart w:id="73" w:name="ref-Mootha2003"/>
    <w:p>
      <w:pPr>
        <w:pStyle w:val="Bibliography"/>
      </w:pPr>
      <w:r>
        <w:t xml:space="preserve">11.</w:t>
      </w:r>
      <w:r>
        <w:t xml:space="preserve"> </w:t>
      </w:r>
      <w:r>
        <w:t xml:space="preserve">	</w:t>
      </w:r>
      <w:r>
        <w:t xml:space="preserve">Mootha VK, Lindgren CM, Eriksson K-F, Subramanian A, Sihag S, Lehar J, et al.</w:t>
      </w:r>
      <w:r>
        <w:t xml:space="preserve"> </w:t>
      </w:r>
      <w:r>
        <w:t xml:space="preserve">PGC</w:t>
      </w:r>
      <w:r>
        <w:t xml:space="preserve">-1</w:t>
      </w:r>
      <m:oMath>
        <m:r>
          <m:rPr>
            <m:sty m:val="p"/>
          </m:rPr>
          <m:t>α</m:t>
        </m:r>
      </m:oMath>
      <w:r>
        <w:t xml:space="preserve">-responsive genes involved in oxidative phosphorylation are coordinately downregulated in human diabetes. Nature Genetics [Internet]. Springer Science; Business Media</w:t>
      </w:r>
      <w:r>
        <w:t xml:space="preserve"> </w:t>
      </w:r>
      <w:r>
        <w:t xml:space="preserve">LLC</w:t>
      </w:r>
      <w:r>
        <w:t xml:space="preserve">; 2003;34:267–73. Available from:</w:t>
      </w:r>
      <w:r>
        <w:t xml:space="preserve"> </w:t>
      </w:r>
      <w:hyperlink r:id="rId72">
        <w:r>
          <w:rPr>
            <w:rStyle w:val="Hyperlink"/>
          </w:rPr>
          <w:t xml:space="preserve">https://doi.org/10.1038/ng1180</w:t>
        </w:r>
      </w:hyperlink>
    </w:p>
    <w:bookmarkEnd w:id="73"/>
    <w:bookmarkStart w:id="75" w:name="ref-Goodrich2022"/>
    <w:p>
      <w:pPr>
        <w:pStyle w:val="Bibliography"/>
      </w:pPr>
      <w:r>
        <w:t xml:space="preserve">12.</w:t>
      </w:r>
      <w:r>
        <w:t xml:space="preserve"> </w:t>
      </w:r>
      <w:r>
        <w:t xml:space="preserve">	</w:t>
      </w:r>
      <w:r>
        <w:t xml:space="preserve">Goodrich B, Gabry J, Ali I, Brilleman S. Rstanarm:</w:t>
      </w:r>
      <w:r>
        <w:t xml:space="preserve"> </w:t>
      </w:r>
      <w:r>
        <w:t xml:space="preserve">Bayesian</w:t>
      </w:r>
      <w:r>
        <w:t xml:space="preserve"> </w:t>
      </w:r>
      <w:r>
        <w:t xml:space="preserve">applied regression modeling via</w:t>
      </w:r>
      <w:r>
        <w:t xml:space="preserve"> </w:t>
      </w:r>
      <w:r>
        <w:t xml:space="preserve">Stan</w:t>
      </w:r>
      <w:r>
        <w:t xml:space="preserve">. [Internet]. 2022. Available from:</w:t>
      </w:r>
      <w:r>
        <w:t xml:space="preserve"> </w:t>
      </w:r>
      <w:hyperlink r:id="rId74">
        <w:r>
          <w:rPr>
            <w:rStyle w:val="Hyperlink"/>
          </w:rPr>
          <w:t xml:space="preserve">https://mc-stan.org/rstanarm/</w:t>
        </w:r>
      </w:hyperlink>
    </w:p>
    <w:bookmarkEnd w:id="75"/>
    <w:bookmarkStart w:id="77" w:name="ref-Kay2022"/>
    <w:p>
      <w:pPr>
        <w:pStyle w:val="Bibliography"/>
      </w:pPr>
      <w:r>
        <w:t xml:space="preserve">13.</w:t>
      </w:r>
      <w:r>
        <w:t xml:space="preserve"> </w:t>
      </w:r>
      <w:r>
        <w:t xml:space="preserve">	</w:t>
      </w:r>
      <w:r>
        <w:t xml:space="preserve">Kay M.</w:t>
      </w:r>
      <w:r>
        <w:t xml:space="preserve"> </w:t>
      </w:r>
      <w:r>
        <w:t xml:space="preserve">tidybayes</w:t>
      </w:r>
      <w:r>
        <w:t xml:space="preserve">: Tidy data and geoms for</w:t>
      </w:r>
      <w:r>
        <w:t xml:space="preserve"> </w:t>
      </w:r>
      <w:r>
        <w:t xml:space="preserve">Bayesian</w:t>
      </w:r>
      <w:r>
        <w:t xml:space="preserve"> </w:t>
      </w:r>
      <w:r>
        <w:t xml:space="preserve">models [Internet]. 2022. Available from:</w:t>
      </w:r>
      <w:r>
        <w:t xml:space="preserve"> </w:t>
      </w:r>
      <w:hyperlink r:id="rId76">
        <w:r>
          <w:rPr>
            <w:rStyle w:val="Hyperlink"/>
          </w:rPr>
          <w:t xml:space="preserve">http://mjskay.github.io/tidybayes/</w:t>
        </w:r>
      </w:hyperlink>
    </w:p>
    <w:bookmarkEnd w:id="77"/>
    <w:bookmarkStart w:id="79" w:name="ref-Dowsett2011"/>
    <w:p>
      <w:pPr>
        <w:pStyle w:val="Bibliography"/>
      </w:pPr>
      <w:r>
        <w:t xml:space="preserve">14.</w:t>
      </w:r>
      <w:r>
        <w:t xml:space="preserve"> </w:t>
      </w:r>
      <w:r>
        <w:t xml:space="preserve">	</w:t>
      </w:r>
      <w:r>
        <w:t xml:space="preserve">Dowsett M, Smith I, Robertson J, Robison L, Pinhel I, Johnson L, et al. Endocrine therapy, new biologicals, and new study designs for presurgical studies in breast cancer.</w:t>
      </w:r>
      <w:r>
        <w:t xml:space="preserve"> </w:t>
      </w:r>
      <w:r>
        <w:t xml:space="preserve">JNCI</w:t>
      </w:r>
      <w:r>
        <w:t xml:space="preserve"> </w:t>
      </w:r>
      <w:r>
        <w:t xml:space="preserve">Monographs [Internet]. Oxford University Press (</w:t>
      </w:r>
      <w:r>
        <w:t xml:space="preserve">OUP</w:t>
      </w:r>
      <w:r>
        <w:t xml:space="preserve">); 2011;2011:120–3. Available from:</w:t>
      </w:r>
      <w:r>
        <w:t xml:space="preserve"> </w:t>
      </w:r>
      <w:hyperlink r:id="rId78">
        <w:r>
          <w:rPr>
            <w:rStyle w:val="Hyperlink"/>
          </w:rPr>
          <w:t xml:space="preserve">https://doi.org/10.1093/jncimonographs/lgr034</w:t>
        </w:r>
      </w:hyperlink>
    </w:p>
    <w:bookmarkEnd w:id="79"/>
    <w:bookmarkStart w:id="81" w:name="ref-Allison2020"/>
    <w:p>
      <w:pPr>
        <w:pStyle w:val="Bibliography"/>
      </w:pPr>
      <w:r>
        <w:t xml:space="preserve">15.</w:t>
      </w:r>
      <w:r>
        <w:t xml:space="preserve"> </w:t>
      </w:r>
      <w:r>
        <w:t xml:space="preserve">	</w:t>
      </w:r>
      <w:r>
        <w:t xml:space="preserve">Allison KH, Hammond MEH, Dowsett M, McKernin SE, Carey LA, Fitzgibbons PL, et al. Estrogen and progesterone receptor testing in breast cancer:</w:t>
      </w:r>
      <w:r>
        <w:t xml:space="preserve"> </w:t>
      </w:r>
      <w:r>
        <w:t xml:space="preserve">ASCO</w:t>
      </w:r>
      <w:r>
        <w:t xml:space="preserve">/</w:t>
      </w:r>
      <w:r>
        <w:t xml:space="preserve">CAP</w:t>
      </w:r>
      <w:r>
        <w:t xml:space="preserve"> </w:t>
      </w:r>
      <w:r>
        <w:t xml:space="preserve">guideline update. Journal of Clinical Oncology [Internet]. American Society of Clinical Oncology (</w:t>
      </w:r>
      <w:r>
        <w:t xml:space="preserve">ASCO</w:t>
      </w:r>
      <w:r>
        <w:t xml:space="preserve">); 2020;38:1346–66. Available from:</w:t>
      </w:r>
      <w:r>
        <w:t xml:space="preserve"> </w:t>
      </w:r>
      <w:hyperlink r:id="rId80">
        <w:r>
          <w:rPr>
            <w:rStyle w:val="Hyperlink"/>
          </w:rPr>
          <w:t xml:space="preserve">https://doi.org/10.1200/jco.19.02309</w:t>
        </w:r>
      </w:hyperlink>
    </w:p>
    <w:bookmarkEnd w:id="81"/>
    <w:bookmarkStart w:id="83" w:name="ref-oncotypedx"/>
    <w:p>
      <w:pPr>
        <w:pStyle w:val="Bibliography"/>
      </w:pPr>
      <w:r>
        <w:t xml:space="preserve">16.</w:t>
      </w:r>
      <w:r>
        <w:t xml:space="preserve"> </w:t>
      </w:r>
      <w:r>
        <w:t xml:space="preserve">	</w:t>
      </w:r>
      <w:r>
        <w:t xml:space="preserve">Sparano JA, Gray RJ, Makower DF, Pritchard KI, Albain KS, Hayes DF, et al. Adjuvant chemotherapy guided by a 21-gene expression assay in breast cancer. New England Journal of Medicine [Internet]. Massachusetts Medical Society; 2018;379:111–21. Available from:</w:t>
      </w:r>
      <w:r>
        <w:t xml:space="preserve"> </w:t>
      </w:r>
      <w:hyperlink r:id="rId82">
        <w:r>
          <w:rPr>
            <w:rStyle w:val="Hyperlink"/>
          </w:rPr>
          <w:t xml:space="preserve">https://doi.org/10.1056/nejmoa1804710</w:t>
        </w:r>
      </w:hyperlink>
    </w:p>
    <w:bookmarkEnd w:id="83"/>
    <w:bookmarkStart w:id="85" w:name="ref-mammaprint"/>
    <w:p>
      <w:pPr>
        <w:pStyle w:val="Bibliography"/>
      </w:pPr>
      <w:r>
        <w:t xml:space="preserve">17.</w:t>
      </w:r>
      <w:r>
        <w:t xml:space="preserve"> </w:t>
      </w:r>
      <w:r>
        <w:t xml:space="preserve">	</w:t>
      </w:r>
      <w:r>
        <w:t xml:space="preserve">Cardoso F, Veer LJ van’t, Bogaerts J, Slaets L, Viale G, Delaloge S, et al. 70-gene signature as an aid to treatment decisions in early-stage breast cancer. New England Journal of Medicine [Internet]. Massachusetts Medical Society; 2016;375:717–29. Available from:</w:t>
      </w:r>
      <w:r>
        <w:t xml:space="preserve"> </w:t>
      </w:r>
      <w:hyperlink r:id="rId84">
        <w:r>
          <w:rPr>
            <w:rStyle w:val="Hyperlink"/>
          </w:rPr>
          <w:t xml:space="preserve">https://doi.org/10.1056/nejmoa1602253</w:t>
        </w:r>
      </w:hyperlink>
    </w:p>
    <w:bookmarkEnd w:id="85"/>
    <w:bookmarkStart w:id="87" w:name="ref-pam50"/>
    <w:p>
      <w:pPr>
        <w:pStyle w:val="Bibliography"/>
      </w:pPr>
      <w:r>
        <w:t xml:space="preserve">18.</w:t>
      </w:r>
      <w:r>
        <w:t xml:space="preserve"> </w:t>
      </w:r>
      <w:r>
        <w:t xml:space="preserve">	</w:t>
      </w:r>
      <w:r>
        <w:t xml:space="preserve">Parker JS, Mullins M, Cheang MCU, Leung S, Voduc D, Vickery T, et al. Supervised risk predictor of breast cancer based on intrinsic subtypes. Journal of Clinical Oncology [Internet]. American Society of Clinical Oncology (</w:t>
      </w:r>
      <w:r>
        <w:t xml:space="preserve">ASCO</w:t>
      </w:r>
      <w:r>
        <w:t xml:space="preserve">); 2009;27:1160–7. Available from:</w:t>
      </w:r>
      <w:r>
        <w:t xml:space="preserve"> </w:t>
      </w:r>
      <w:hyperlink r:id="rId86">
        <w:r>
          <w:rPr>
            <w:rStyle w:val="Hyperlink"/>
          </w:rPr>
          <w:t xml:space="preserve">https://doi.org/10.1200/jco.2008.18.1370</w:t>
        </w:r>
      </w:hyperlink>
    </w:p>
    <w:bookmarkEnd w:id="87"/>
    <w:bookmarkStart w:id="89" w:name="ref-Buus2021"/>
    <w:p>
      <w:pPr>
        <w:pStyle w:val="Bibliography"/>
      </w:pPr>
      <w:r>
        <w:t xml:space="preserve">19.</w:t>
      </w:r>
      <w:r>
        <w:t xml:space="preserve"> </w:t>
      </w:r>
      <w:r>
        <w:t xml:space="preserve">	</w:t>
      </w:r>
      <w:r>
        <w:t xml:space="preserve">Buus R, Sestak I, Kronenwett R, Ferree S, Schnabel CA, Baehner FL, et al. Molecular drivers of onco</w:t>
      </w:r>
      <m:oMath>
        <m:r>
          <m:rPr>
            <m:sty m:val="p"/>
          </m:rPr>
          <m:t>&lt;</m:t>
        </m:r>
      </m:oMath>
      <w:r>
        <w:t xml:space="preserve">i</w:t>
      </w:r>
      <m:oMath>
        <m:r>
          <m:rPr>
            <m:sty m:val="p"/>
          </m:rPr>
          <m:t>&gt;</m:t>
        </m:r>
      </m:oMath>
      <w:r>
        <w:t xml:space="preserve">type</w:t>
      </w:r>
      <m:oMath>
        <m:r>
          <m:rPr>
            <m:sty m:val="p"/>
          </m:rPr>
          <m:t>&lt;</m:t>
        </m:r>
      </m:oMath>
      <w:r>
        <w:t xml:space="preserve">/i</w:t>
      </w:r>
      <m:oMath>
        <m:r>
          <m:rPr>
            <m:sty m:val="p"/>
          </m:rPr>
          <m:t>&gt;</m:t>
        </m:r>
      </m:oMath>
      <w:r>
        <w:t xml:space="preserve"> </w:t>
      </w:r>
      <w:r>
        <w:t xml:space="preserve">DX</w:t>
      </w:r>
      <w:r>
        <w:t xml:space="preserve">, prosigna,</w:t>
      </w:r>
      <w:r>
        <w:t xml:space="preserve"> </w:t>
      </w:r>
      <w:r>
        <w:t xml:space="preserve">EndoPredict</w:t>
      </w:r>
      <w:r>
        <w:t xml:space="preserve">, and the breast cancer index: A</w:t>
      </w:r>
      <w:r>
        <w:t xml:space="preserve"> </w:t>
      </w:r>
      <w:r>
        <w:t xml:space="preserve">TransATAC</w:t>
      </w:r>
      <w:r>
        <w:t xml:space="preserve"> </w:t>
      </w:r>
      <w:r>
        <w:t xml:space="preserve">study. Journal of Clinical Oncology [Internet]. American Society of Clinical Oncology (</w:t>
      </w:r>
      <w:r>
        <w:t xml:space="preserve">ASCO</w:t>
      </w:r>
      <w:r>
        <w:t xml:space="preserve">); 2021;39:126–35. Available from:</w:t>
      </w:r>
      <w:r>
        <w:t xml:space="preserve"> </w:t>
      </w:r>
      <w:hyperlink r:id="rId88">
        <w:r>
          <w:rPr>
            <w:rStyle w:val="Hyperlink"/>
          </w:rPr>
          <w:t xml:space="preserve">https://doi.org/10.1200/jco.20.00853</w:t>
        </w:r>
      </w:hyperlink>
    </w:p>
    <w:bookmarkEnd w:id="89"/>
    <w:bookmarkStart w:id="91" w:name="ref-Zhang2020"/>
    <w:p>
      <w:pPr>
        <w:pStyle w:val="Bibliography"/>
      </w:pPr>
      <w:r>
        <w:t xml:space="preserve">20.</w:t>
      </w:r>
      <w:r>
        <w:t xml:space="preserve"> </w:t>
      </w:r>
      <w:r>
        <w:t xml:space="preserve">	</w:t>
      </w:r>
      <w:r>
        <w:t xml:space="preserve">Zhang Y, Parmigiani G, Johnson WE.</w:t>
      </w:r>
      <w:r>
        <w:t xml:space="preserve"> </w:t>
      </w:r>
      <w:r>
        <w:t xml:space="preserve">ComBat</w:t>
      </w:r>
      <w:r>
        <w:t xml:space="preserve">-seq: Batch effect adjustment for</w:t>
      </w:r>
      <w:r>
        <w:t xml:space="preserve"> </w:t>
      </w:r>
      <w:r>
        <w:t xml:space="preserve">RNA</w:t>
      </w:r>
      <w:r>
        <w:t xml:space="preserve">-seq count data.</w:t>
      </w:r>
      <w:r>
        <w:t xml:space="preserve"> </w:t>
      </w:r>
      <w:r>
        <w:t xml:space="preserve">NAR</w:t>
      </w:r>
      <w:r>
        <w:t xml:space="preserve"> </w:t>
      </w:r>
      <w:r>
        <w:t xml:space="preserve">Genomics and Bioinformatics [Internet]. Oxford University Press (</w:t>
      </w:r>
      <w:r>
        <w:t xml:space="preserve">OUP</w:t>
      </w:r>
      <w:r>
        <w:t xml:space="preserve">); 2020;2. Available from:</w:t>
      </w:r>
      <w:r>
        <w:t xml:space="preserve"> </w:t>
      </w:r>
      <w:hyperlink r:id="rId90">
        <w:r>
          <w:rPr>
            <w:rStyle w:val="Hyperlink"/>
          </w:rPr>
          <w:t xml:space="preserve">https://doi.org/10.1093/nargab/lqaa078</w:t>
        </w:r>
      </w:hyperlink>
    </w:p>
    <w:bookmarkEnd w:id="91"/>
    <w:bookmarkStart w:id="93" w:name="ref-Risso2014"/>
    <w:p>
      <w:pPr>
        <w:pStyle w:val="Bibliography"/>
      </w:pPr>
      <w:r>
        <w:t xml:space="preserve">21.</w:t>
      </w:r>
      <w:r>
        <w:t xml:space="preserve"> </w:t>
      </w:r>
      <w:r>
        <w:t xml:space="preserve">	</w:t>
      </w:r>
      <w:r>
        <w:t xml:space="preserve">Risso D, Ngai J, Speed TP, Dudoit S. Normalization of</w:t>
      </w:r>
      <w:r>
        <w:t xml:space="preserve"> </w:t>
      </w:r>
      <w:r>
        <w:t xml:space="preserve">RNA</w:t>
      </w:r>
      <w:r>
        <w:t xml:space="preserve">-seq data using factor analysis of control genes or samples. Nature Biotechnology [Internet]. Springer Science; Business Media</w:t>
      </w:r>
      <w:r>
        <w:t xml:space="preserve"> </w:t>
      </w:r>
      <w:r>
        <w:t xml:space="preserve">LLC</w:t>
      </w:r>
      <w:r>
        <w:t xml:space="preserve">; 2014;32:896–902. Available from:</w:t>
      </w:r>
      <w:r>
        <w:t xml:space="preserve"> </w:t>
      </w:r>
      <w:hyperlink r:id="rId92">
        <w:r>
          <w:rPr>
            <w:rStyle w:val="Hyperlink"/>
          </w:rPr>
          <w:t xml:space="preserve">https://doi.org/10.1038/nbt.2931</w:t>
        </w:r>
      </w:hyperlink>
    </w:p>
    <w:bookmarkEnd w:id="93"/>
    <w:bookmarkStart w:id="95" w:name="ref-Arima2018"/>
    <w:p>
      <w:pPr>
        <w:pStyle w:val="Bibliography"/>
      </w:pPr>
      <w:r>
        <w:t xml:space="preserve">22.</w:t>
      </w:r>
      <w:r>
        <w:t xml:space="preserve"> </w:t>
      </w:r>
      <w:r>
        <w:t xml:space="preserve">	</w:t>
      </w:r>
      <w:r>
        <w:t xml:space="preserve">Arima N, Nishimura R, Osako T, Okumura Y, Nakano M, Fujisue M, et al. Ki‑67 index value and progesterone receptor status can predict prognosis and suitable treatment in node‑negative breast cancer patients with estrogen receptor‑positive and</w:t>
      </w:r>
      <w:r>
        <w:t xml:space="preserve"> </w:t>
      </w:r>
      <w:r>
        <w:t xml:space="preserve">HER</w:t>
      </w:r>
      <w:r>
        <w:t xml:space="preserve">2‑negative tumors. Oncology Letters [Internet]. Spandidos Publications; 2018; Available from:</w:t>
      </w:r>
      <w:r>
        <w:t xml:space="preserve"> </w:t>
      </w:r>
      <w:hyperlink r:id="rId94">
        <w:r>
          <w:rPr>
            <w:rStyle w:val="Hyperlink"/>
          </w:rPr>
          <w:t xml:space="preserve">https://doi.org/10.3892/ol.2018.9633</w:t>
        </w:r>
      </w:hyperlink>
    </w:p>
    <w:bookmarkEnd w:id="95"/>
    <w:bookmarkStart w:id="97" w:name="ref-Hickey2021"/>
    <w:p>
      <w:pPr>
        <w:pStyle w:val="Bibliography"/>
      </w:pPr>
      <w:r>
        <w:t xml:space="preserve">23.</w:t>
      </w:r>
      <w:r>
        <w:t xml:space="preserve"> </w:t>
      </w:r>
      <w:r>
        <w:t xml:space="preserve">	</w:t>
      </w:r>
      <w:r>
        <w:t xml:space="preserve">Hickey TE, Selth LA, Chia KM, Laven-Law G, Milioli HH, Roden D, et al. The androgen receptor is a tumor suppressor in estrogen receptor</w:t>
      </w:r>
      <w:r>
        <w:t xml:space="preserve">positive breast cancer. Nature Medicine [Internet]. Springer Science; Business Media</w:t>
      </w:r>
      <w:r>
        <w:t xml:space="preserve"> </w:t>
      </w:r>
      <w:r>
        <w:t xml:space="preserve">LLC</w:t>
      </w:r>
      <w:r>
        <w:t xml:space="preserve">; 2021;27:310–20. Available from:</w:t>
      </w:r>
      <w:r>
        <w:t xml:space="preserve"> </w:t>
      </w:r>
      <w:hyperlink r:id="rId96">
        <w:r>
          <w:rPr>
            <w:rStyle w:val="Hyperlink"/>
          </w:rPr>
          <w:t xml:space="preserve">https://doi.org/10.1038/s41591-020-01168-7</w:t>
        </w:r>
      </w:hyperlink>
    </w:p>
    <w:bookmarkEnd w:id="97"/>
    <w:bookmarkStart w:id="99" w:name="ref-Foroutan2018"/>
    <w:p>
      <w:pPr>
        <w:pStyle w:val="Bibliography"/>
      </w:pPr>
      <w:r>
        <w:t xml:space="preserve">24.</w:t>
      </w:r>
      <w:r>
        <w:t xml:space="preserve"> </w:t>
      </w:r>
      <w:r>
        <w:t xml:space="preserve">	</w:t>
      </w:r>
      <w:r>
        <w:t xml:space="preserve">Foroutan M, Bhuva DD, Lyu R, Horan K, Cursons J, Davis MJ. Single sample scoring of molecular phenotypes.</w:t>
      </w:r>
      <w:r>
        <w:t xml:space="preserve"> </w:t>
      </w:r>
      <w:r>
        <w:t xml:space="preserve">BMC</w:t>
      </w:r>
      <w:r>
        <w:t xml:space="preserve"> </w:t>
      </w:r>
      <w:r>
        <w:t xml:space="preserve">Bioinformatics [Internet]. Springer Science; Business Media</w:t>
      </w:r>
      <w:r>
        <w:t xml:space="preserve"> </w:t>
      </w:r>
      <w:r>
        <w:t xml:space="preserve">LLC</w:t>
      </w:r>
      <w:r>
        <w:t xml:space="preserve">; 2018;19. Available from:</w:t>
      </w:r>
      <w:r>
        <w:t xml:space="preserve"> </w:t>
      </w:r>
      <w:hyperlink r:id="rId98">
        <w:r>
          <w:rPr>
            <w:rStyle w:val="Hyperlink"/>
          </w:rPr>
          <w:t xml:space="preserve">https://doi.org/10.1186/s12859-018-2435-4</w:t>
        </w:r>
      </w:hyperlink>
    </w:p>
    <w:bookmarkEnd w:id="99"/>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hyperlink" Id="rId76" Target="http://mjskay.github.io/tidybayes/" TargetMode="External" /><Relationship Type="http://schemas.openxmlformats.org/officeDocument/2006/relationships/hyperlink" Id="rId28" Target="https://chronchi.github.io/molecular_landscape" TargetMode="External" /><Relationship Type="http://schemas.openxmlformats.org/officeDocument/2006/relationships/hyperlink" Id="rId57" Target="https://doi.org/10.1038/nature10983" TargetMode="External" /><Relationship Type="http://schemas.openxmlformats.org/officeDocument/2006/relationships/hyperlink" Id="rId53" Target="https://doi.org/10.1038/nature11412" TargetMode="External" /><Relationship Type="http://schemas.openxmlformats.org/officeDocument/2006/relationships/hyperlink" Id="rId92" Target="https://doi.org/10.1038/nbt.2931" TargetMode="External" /><Relationship Type="http://schemas.openxmlformats.org/officeDocument/2006/relationships/hyperlink" Id="rId72" Target="https://doi.org/10.1038/ng1180" TargetMode="External" /><Relationship Type="http://schemas.openxmlformats.org/officeDocument/2006/relationships/hyperlink" Id="rId68" Target="https://doi.org/10.1038/s41523-019-0111-0" TargetMode="External" /><Relationship Type="http://schemas.openxmlformats.org/officeDocument/2006/relationships/hyperlink" Id="rId96" Target="https://doi.org/10.1038/s41591-020-01168-7" TargetMode="External" /><Relationship Type="http://schemas.openxmlformats.org/officeDocument/2006/relationships/hyperlink" Id="rId84" Target="https://doi.org/10.1056/nejmoa1602253" TargetMode="External" /><Relationship Type="http://schemas.openxmlformats.org/officeDocument/2006/relationships/hyperlink" Id="rId82" Target="https://doi.org/10.1056/nejmoa1804710" TargetMode="External" /><Relationship Type="http://schemas.openxmlformats.org/officeDocument/2006/relationships/hyperlink" Id="rId70" Target="https://doi.org/10.1073/pnas.0506580102" TargetMode="External" /><Relationship Type="http://schemas.openxmlformats.org/officeDocument/2006/relationships/hyperlink" Id="rId78" Target="https://doi.org/10.1093/jncimonographs/lgr034" TargetMode="External" /><Relationship Type="http://schemas.openxmlformats.org/officeDocument/2006/relationships/hyperlink" Id="rId62" Target="https://doi.org/10.1093/nar/gkaa802" TargetMode="External" /><Relationship Type="http://schemas.openxmlformats.org/officeDocument/2006/relationships/hyperlink" Id="rId90" Target="https://doi.org/10.1093/nargab/lqaa078" TargetMode="External" /><Relationship Type="http://schemas.openxmlformats.org/officeDocument/2006/relationships/hyperlink" Id="rId66" Target="https://doi.org/10.1186/1471-2105-14-7" TargetMode="External" /><Relationship Type="http://schemas.openxmlformats.org/officeDocument/2006/relationships/hyperlink" Id="rId98" Target="https://doi.org/10.1186/s12859-018-2435-4" TargetMode="External" /><Relationship Type="http://schemas.openxmlformats.org/officeDocument/2006/relationships/hyperlink" Id="rId59" Target="https://doi.org/10.1186/s13058-019-1223-z" TargetMode="External" /><Relationship Type="http://schemas.openxmlformats.org/officeDocument/2006/relationships/hyperlink" Id="rId55" Target="https://doi.org/10.1186/s13073-015-0131-9" TargetMode="External" /><Relationship Type="http://schemas.openxmlformats.org/officeDocument/2006/relationships/hyperlink" Id="rId80" Target="https://doi.org/10.1200/jco.19.02309" TargetMode="External" /><Relationship Type="http://schemas.openxmlformats.org/officeDocument/2006/relationships/hyperlink" Id="rId88" Target="https://doi.org/10.1200/jco.20.00853" TargetMode="External" /><Relationship Type="http://schemas.openxmlformats.org/officeDocument/2006/relationships/hyperlink" Id="rId86" Target="https://doi.org/10.1200/jco.2008.18.1370" TargetMode="External" /><Relationship Type="http://schemas.openxmlformats.org/officeDocument/2006/relationships/hyperlink" Id="rId94" Target="https://doi.org/10.3892/ol.2018.9633" TargetMode="External" /><Relationship Type="http://schemas.openxmlformats.org/officeDocument/2006/relationships/hyperlink" Id="rId64" Target="https://github.com/kevinblighe/PCAtools" TargetMode="External" /><Relationship Type="http://schemas.openxmlformats.org/officeDocument/2006/relationships/hyperlink" Id="rId74" Target="https://mc-stan.org/rstanarm/" TargetMode="External" /></Relationships>
</file>

<file path=word/_rels/footnotes.xml.rels><?xml version="1.0" encoding="UTF-8"?><Relationships xmlns="http://schemas.openxmlformats.org/package/2006/relationships"><Relationship Type="http://schemas.openxmlformats.org/officeDocument/2006/relationships/hyperlink" Id="rId76" Target="http://mjskay.github.io/tidybayes/" TargetMode="External" /><Relationship Type="http://schemas.openxmlformats.org/officeDocument/2006/relationships/hyperlink" Id="rId28" Target="https://chronchi.github.io/molecular_landscape" TargetMode="External" /><Relationship Type="http://schemas.openxmlformats.org/officeDocument/2006/relationships/hyperlink" Id="rId57" Target="https://doi.org/10.1038/nature10983" TargetMode="External" /><Relationship Type="http://schemas.openxmlformats.org/officeDocument/2006/relationships/hyperlink" Id="rId53" Target="https://doi.org/10.1038/nature11412" TargetMode="External" /><Relationship Type="http://schemas.openxmlformats.org/officeDocument/2006/relationships/hyperlink" Id="rId92" Target="https://doi.org/10.1038/nbt.2931" TargetMode="External" /><Relationship Type="http://schemas.openxmlformats.org/officeDocument/2006/relationships/hyperlink" Id="rId72" Target="https://doi.org/10.1038/ng1180" TargetMode="External" /><Relationship Type="http://schemas.openxmlformats.org/officeDocument/2006/relationships/hyperlink" Id="rId68" Target="https://doi.org/10.1038/s41523-019-0111-0" TargetMode="External" /><Relationship Type="http://schemas.openxmlformats.org/officeDocument/2006/relationships/hyperlink" Id="rId96" Target="https://doi.org/10.1038/s41591-020-01168-7" TargetMode="External" /><Relationship Type="http://schemas.openxmlformats.org/officeDocument/2006/relationships/hyperlink" Id="rId84" Target="https://doi.org/10.1056/nejmoa1602253" TargetMode="External" /><Relationship Type="http://schemas.openxmlformats.org/officeDocument/2006/relationships/hyperlink" Id="rId82" Target="https://doi.org/10.1056/nejmoa1804710" TargetMode="External" /><Relationship Type="http://schemas.openxmlformats.org/officeDocument/2006/relationships/hyperlink" Id="rId70" Target="https://doi.org/10.1073/pnas.0506580102" TargetMode="External" /><Relationship Type="http://schemas.openxmlformats.org/officeDocument/2006/relationships/hyperlink" Id="rId78" Target="https://doi.org/10.1093/jncimonographs/lgr034" TargetMode="External" /><Relationship Type="http://schemas.openxmlformats.org/officeDocument/2006/relationships/hyperlink" Id="rId62" Target="https://doi.org/10.1093/nar/gkaa802" TargetMode="External" /><Relationship Type="http://schemas.openxmlformats.org/officeDocument/2006/relationships/hyperlink" Id="rId90" Target="https://doi.org/10.1093/nargab/lqaa078" TargetMode="External" /><Relationship Type="http://schemas.openxmlformats.org/officeDocument/2006/relationships/hyperlink" Id="rId66" Target="https://doi.org/10.1186/1471-2105-14-7" TargetMode="External" /><Relationship Type="http://schemas.openxmlformats.org/officeDocument/2006/relationships/hyperlink" Id="rId98" Target="https://doi.org/10.1186/s12859-018-2435-4" TargetMode="External" /><Relationship Type="http://schemas.openxmlformats.org/officeDocument/2006/relationships/hyperlink" Id="rId59" Target="https://doi.org/10.1186/s13058-019-1223-z" TargetMode="External" /><Relationship Type="http://schemas.openxmlformats.org/officeDocument/2006/relationships/hyperlink" Id="rId55" Target="https://doi.org/10.1186/s13073-015-0131-9" TargetMode="External" /><Relationship Type="http://schemas.openxmlformats.org/officeDocument/2006/relationships/hyperlink" Id="rId80" Target="https://doi.org/10.1200/jco.19.02309" TargetMode="External" /><Relationship Type="http://schemas.openxmlformats.org/officeDocument/2006/relationships/hyperlink" Id="rId88" Target="https://doi.org/10.1200/jco.20.00853" TargetMode="External" /><Relationship Type="http://schemas.openxmlformats.org/officeDocument/2006/relationships/hyperlink" Id="rId86" Target="https://doi.org/10.1200/jco.2008.18.1370" TargetMode="External" /><Relationship Type="http://schemas.openxmlformats.org/officeDocument/2006/relationships/hyperlink" Id="rId94" Target="https://doi.org/10.3892/ol.2018.9633" TargetMode="External" /><Relationship Type="http://schemas.openxmlformats.org/officeDocument/2006/relationships/hyperlink" Id="rId64" Target="https://github.com/kevinblighe/PCAtools" TargetMode="External" /><Relationship Type="http://schemas.openxmlformats.org/officeDocument/2006/relationships/hyperlink" Id="rId74" Target="https://mc-stan.org/rstanar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Molecular landscape: a new framework for personalized medicine in Breast Cancer</dc:title>
  <dc:creator>Carlos Ronchi, Cathrin Brisken</dc:creator>
  <cp:keywords/>
  <dcterms:created xsi:type="dcterms:W3CDTF">2022-10-17T13:29:36Z</dcterms:created>
  <dcterms:modified xsi:type="dcterms:W3CDTF">2022-10-17T13:29:36Z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csl">
    <vt:lpwstr>csl/aacr.csl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